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CD083F" w14:textId="77777777" w:rsidR="00363A9D" w:rsidRPr="009239D6" w:rsidRDefault="00363A9D" w:rsidP="00363A9D">
      <w:pPr>
        <w:pStyle w:val="Heading3"/>
        <w:tabs>
          <w:tab w:val="right" w:pos="9072"/>
        </w:tabs>
        <w:rPr>
          <w:rFonts w:asciiTheme="minorHAnsi" w:hAnsiTheme="minorHAnsi"/>
          <w:color w:val="5F497A" w:themeColor="accent4" w:themeShade="BF"/>
          <w:spacing w:val="40"/>
          <w:sz w:val="28"/>
        </w:rPr>
      </w:pPr>
      <w:r w:rsidRPr="009239D6">
        <w:rPr>
          <w:rFonts w:asciiTheme="minorHAnsi" w:hAnsiTheme="minorHAnsi"/>
          <w:color w:val="5F497A" w:themeColor="accent4" w:themeShade="BF"/>
          <w:spacing w:val="40"/>
          <w:sz w:val="28"/>
        </w:rPr>
        <w:t>RIJEČ UPRAVE</w:t>
      </w:r>
    </w:p>
    <w:p w14:paraId="68D96989" w14:textId="77777777" w:rsidR="001C589B" w:rsidRDefault="001C589B" w:rsidP="001C589B">
      <w:pPr>
        <w:jc w:val="both"/>
      </w:pPr>
    </w:p>
    <w:p w14:paraId="42DD8102" w14:textId="7E890032" w:rsidR="001C589B" w:rsidRPr="001C589B" w:rsidRDefault="001C589B" w:rsidP="001C589B">
      <w:pPr>
        <w:jc w:val="both"/>
      </w:pPr>
      <w:r w:rsidRPr="001C589B">
        <w:t xml:space="preserve">Kada je 2020. godina započela, malo je tko mogao pretpostaviti koliko će turbulentan njezin nastavak biti. Iz perspektive polovice godine, početak se čini nevjerojatno dalekim i neusporedivim s današnjim trenutkom. Od svih mogućih događanja koja najčešće utječu na financijska tržišta i ekonomiju općenito, globalna pandemija dosad neviđenih razmjera bila je među nevjerojatnijima, no danas je realnost u kojoj svijet živi. </w:t>
      </w:r>
    </w:p>
    <w:p w14:paraId="46AB1459" w14:textId="77777777" w:rsidR="001C589B" w:rsidRPr="001C589B" w:rsidRDefault="001C589B" w:rsidP="001C589B">
      <w:pPr>
        <w:jc w:val="both"/>
      </w:pPr>
      <w:r w:rsidRPr="001C589B">
        <w:t xml:space="preserve">Unatoč izazovnim okolnostima, prvo polugodište ipak je obilježeno i nekim pozitivnim momentima. </w:t>
      </w:r>
    </w:p>
    <w:p w14:paraId="2C388661" w14:textId="77777777" w:rsidR="001C589B" w:rsidRPr="001C589B" w:rsidRDefault="001C589B" w:rsidP="001C589B">
      <w:pPr>
        <w:jc w:val="both"/>
      </w:pPr>
      <w:r w:rsidRPr="001C589B">
        <w:t>Početkom ožujka Zagrebačka burza bila je među više od 90 svjetskih burzi na kojima je simboličkim zvukom zvona označen početak trgovanja povodom Međunarodnog dana žena, kako bi se skrenula pažnja na važnu ulogu poslovnog sektora u unaprjeđenju ravnopravnosti spolova, a u svrhu postizanja ciljeva održivog razvoja i podizanja svijesti o načelima osnaživanja žena. Događanju je nazočio i predsjednik Republike Hrvatske Zoran Milanović.</w:t>
      </w:r>
    </w:p>
    <w:p w14:paraId="0F880E3C" w14:textId="77777777" w:rsidR="001C589B" w:rsidRPr="001C589B" w:rsidRDefault="001C589B" w:rsidP="001C589B">
      <w:pPr>
        <w:jc w:val="both"/>
      </w:pPr>
      <w:r w:rsidRPr="001C589B">
        <w:t>Burza je u travnju ponovno uspješno okončala godišnji akreditacijski proces za lokalnog operatera LEI oznaka od strane Globalne LEI zaklade (GLEIF), čime je još jednom potvrđena kvaliteta ove usluge. Burza je ovlaštena izdavati LEI oznake subjektima registriranima u 12 zemalja, upravlja s više od 1.100 oznaka, a pritom je kontinuirano među najboljim operaterima LEI oznaka u svijetu, prema mjesečnim izvješćima o kvaliteti podataka koje objavljuje GLEIF.</w:t>
      </w:r>
    </w:p>
    <w:p w14:paraId="7196C2D9" w14:textId="77777777" w:rsidR="001C589B" w:rsidRPr="001C589B" w:rsidRDefault="001C589B" w:rsidP="001C589B">
      <w:pPr>
        <w:jc w:val="both"/>
      </w:pPr>
      <w:r w:rsidRPr="001C589B">
        <w:t xml:space="preserve">U svibnju je održan prvi ovogodišnji investicijski </w:t>
      </w:r>
      <w:proofErr w:type="spellStart"/>
      <w:r w:rsidRPr="001C589B">
        <w:t>webcast</w:t>
      </w:r>
      <w:proofErr w:type="spellEnd"/>
      <w:r w:rsidRPr="001C589B">
        <w:t xml:space="preserve"> za izdavatelje iz Vodećeg tržišta, na kojem su se predstavili AD </w:t>
      </w:r>
      <w:proofErr w:type="spellStart"/>
      <w:r w:rsidRPr="001C589B">
        <w:t>Plastik</w:t>
      </w:r>
      <w:proofErr w:type="spellEnd"/>
      <w:r w:rsidRPr="001C589B">
        <w:t xml:space="preserve"> d.d., Arena </w:t>
      </w:r>
      <w:proofErr w:type="spellStart"/>
      <w:r w:rsidRPr="001C589B">
        <w:t>Hospitality</w:t>
      </w:r>
      <w:proofErr w:type="spellEnd"/>
      <w:r w:rsidRPr="001C589B">
        <w:t xml:space="preserve"> Group d.d., Atlantic Grupa d.d., Podravka d.d. i Valamar Riviera d.d., a </w:t>
      </w:r>
      <w:proofErr w:type="spellStart"/>
      <w:r w:rsidRPr="001C589B">
        <w:t>webcastu</w:t>
      </w:r>
      <w:proofErr w:type="spellEnd"/>
      <w:r w:rsidRPr="001C589B">
        <w:t xml:space="preserve"> je prisustvovalo rekordnih 60-ak investitora i analitičara iz Hrvatske i svijeta. Odličan odaziv svjedoči u prilog činjenici da je u ovakvim zahtjevnim okolnostima održavanje otvorenog dijaloga između kompanija i investicijske javnosti te promoviranje najviših standarda transparentnosti važnije nego ikada. </w:t>
      </w:r>
    </w:p>
    <w:p w14:paraId="3FBE01BB" w14:textId="77777777" w:rsidR="001C589B" w:rsidRPr="001C589B" w:rsidRDefault="001C589B" w:rsidP="001C589B">
      <w:pPr>
        <w:jc w:val="both"/>
      </w:pPr>
      <w:r w:rsidRPr="001C589B">
        <w:t xml:space="preserve">Četiri društva uvrštena na Zagrebačku burzu - AD </w:t>
      </w:r>
      <w:proofErr w:type="spellStart"/>
      <w:r w:rsidRPr="001C589B">
        <w:t>Plastik</w:t>
      </w:r>
      <w:proofErr w:type="spellEnd"/>
      <w:r w:rsidRPr="001C589B">
        <w:t xml:space="preserve">, Arena </w:t>
      </w:r>
      <w:proofErr w:type="spellStart"/>
      <w:r w:rsidRPr="001C589B">
        <w:t>Hospitality</w:t>
      </w:r>
      <w:proofErr w:type="spellEnd"/>
      <w:r w:rsidRPr="001C589B">
        <w:t xml:space="preserve"> Group, Ilirija i Zagrebačka burza - izabrana su za sudjelovanje u programu Europske banke za obnovu i razvoj (EBRD) usmjerenom analizama malih i srednjih poduzeća, koji je startao u svibnju. Cilj je programa povećati javnu dostupnost analitičkih materijala za mala i srednja poduzeća uvrštena na regionalne burze. Program je u potpunosti usklađen s ciljevima Akcijskog plana za izgradnju unije tržišta kapitala Europske komisije, koji posebno naglašava važnost olakšavanja pristupa financiranju, uključujući rizični kapital, osobito za mala i srednja poduzeća, kao jedno od pet prioritetnih područja za razvoj tržišta.</w:t>
      </w:r>
    </w:p>
    <w:p w14:paraId="7755495C" w14:textId="77777777" w:rsidR="001C589B" w:rsidRPr="001C589B" w:rsidRDefault="001C589B" w:rsidP="001C589B">
      <w:pPr>
        <w:jc w:val="both"/>
      </w:pPr>
      <w:r w:rsidRPr="001C589B">
        <w:lastRenderedPageBreak/>
        <w:t>Akademija Zagrebačke burze u svibnju je obilježila 10. godišnjicu svoga rada. Utemeljena 2010. kao edukativni odjel Zagrebačke burze, uz potporu Europske banke za obnovu i razvoj, danas je najveći pružatelj usluga edukacije o financijskim tržištima u Hrvatskoj. Akademija je do sada razvila ukupno preko 80 različitih programa te organizirala više od 500 edukativnih događanja kroz koje je prošlo gotovo 10.000 sudionika, od čega su za njih otprilike 70%-</w:t>
      </w:r>
      <w:proofErr w:type="spellStart"/>
      <w:r w:rsidRPr="001C589B">
        <w:t>ak</w:t>
      </w:r>
      <w:proofErr w:type="spellEnd"/>
      <w:r w:rsidRPr="001C589B">
        <w:t xml:space="preserve"> osigurane besplatne edukacije. Izuzetan naglasak Akademija stavlja na edukaciju mladih, posebno srednjoškolaca i studenata, kojih je educirano oko 5.000, iz čitave Hrvatske, Europe i svijeta (Brazila, Južne Afrike, Kanade, Kine, SAD-a i drugih zemalja). U skladu s novim </w:t>
      </w:r>
      <w:proofErr w:type="spellStart"/>
      <w:r w:rsidRPr="001C589B">
        <w:t>pandemijskim</w:t>
      </w:r>
      <w:proofErr w:type="spellEnd"/>
      <w:r w:rsidRPr="001C589B">
        <w:t xml:space="preserve"> okolnostima, Akademija je u travnju uspješno održala prve online seminare, uz odličan odaziv polaznika.</w:t>
      </w:r>
    </w:p>
    <w:p w14:paraId="1DEC33E1" w14:textId="77777777" w:rsidR="001C589B" w:rsidRPr="001C589B" w:rsidRDefault="001C589B" w:rsidP="001C589B">
      <w:pPr>
        <w:jc w:val="both"/>
      </w:pPr>
      <w:r w:rsidRPr="001C589B">
        <w:t>Hrvatska agencija za nadzor financijskih usluga, Središnje klirinško depozitarno društvo i Zagrebačka burza održali su u lipnju svoju 11. godišnju edukaciju namijenjenu društvima čiji su vrijednosni papiri uvršteni na uređeno tržište Zagrebačke burze. Ove godine edukativni skup po prvi je put održan virtualno, a sudjelovalo je rekordnih 160 predstavnika izdavatelja, kojima su i ove godine prezentirani noviteti vezani uz regulativu tržišta kapitala te druge srodne teme.</w:t>
      </w:r>
    </w:p>
    <w:p w14:paraId="098EF01F" w14:textId="77777777" w:rsidR="001C589B" w:rsidRPr="001C589B" w:rsidRDefault="001C589B" w:rsidP="001C589B">
      <w:pPr>
        <w:jc w:val="both"/>
      </w:pPr>
      <w:r w:rsidRPr="001C589B">
        <w:t xml:space="preserve">Predsjednica Uprave Zagrebačke burze  Ivana </w:t>
      </w:r>
      <w:proofErr w:type="spellStart"/>
      <w:r w:rsidRPr="001C589B">
        <w:t>Gažić</w:t>
      </w:r>
      <w:proofErr w:type="spellEnd"/>
      <w:r w:rsidRPr="001C589B">
        <w:t xml:space="preserve"> imenovana je u </w:t>
      </w:r>
      <w:proofErr w:type="spellStart"/>
      <w:r w:rsidRPr="001C589B">
        <w:t>Securities</w:t>
      </w:r>
      <w:proofErr w:type="spellEnd"/>
      <w:r w:rsidRPr="001C589B">
        <w:t xml:space="preserve"> </w:t>
      </w:r>
      <w:proofErr w:type="spellStart"/>
      <w:r w:rsidRPr="001C589B">
        <w:t>and</w:t>
      </w:r>
      <w:proofErr w:type="spellEnd"/>
      <w:r w:rsidRPr="001C589B">
        <w:t xml:space="preserve"> </w:t>
      </w:r>
      <w:proofErr w:type="spellStart"/>
      <w:r w:rsidRPr="001C589B">
        <w:t>Markets</w:t>
      </w:r>
      <w:proofErr w:type="spellEnd"/>
      <w:r w:rsidRPr="001C589B">
        <w:t xml:space="preserve"> </w:t>
      </w:r>
      <w:proofErr w:type="spellStart"/>
      <w:r w:rsidRPr="001C589B">
        <w:t>Stakeholder</w:t>
      </w:r>
      <w:proofErr w:type="spellEnd"/>
      <w:r w:rsidRPr="001C589B">
        <w:t xml:space="preserve"> Group (SMSG) ESMA-e (European </w:t>
      </w:r>
      <w:proofErr w:type="spellStart"/>
      <w:r w:rsidRPr="001C589B">
        <w:t>Securities</w:t>
      </w:r>
      <w:proofErr w:type="spellEnd"/>
      <w:r w:rsidRPr="001C589B">
        <w:t xml:space="preserve"> </w:t>
      </w:r>
      <w:proofErr w:type="spellStart"/>
      <w:r w:rsidRPr="001C589B">
        <w:t>and</w:t>
      </w:r>
      <w:proofErr w:type="spellEnd"/>
      <w:r w:rsidRPr="001C589B">
        <w:t xml:space="preserve"> </w:t>
      </w:r>
      <w:proofErr w:type="spellStart"/>
      <w:r w:rsidRPr="001C589B">
        <w:t>Markets</w:t>
      </w:r>
      <w:proofErr w:type="spellEnd"/>
      <w:r w:rsidRPr="001C589B">
        <w:t xml:space="preserve"> </w:t>
      </w:r>
      <w:proofErr w:type="spellStart"/>
      <w:r w:rsidRPr="001C589B">
        <w:t>Authority</w:t>
      </w:r>
      <w:proofErr w:type="spellEnd"/>
      <w:r w:rsidRPr="001C589B">
        <w:t>). Ovo tijelo centralnog europskog regulatora za tržišta kapitala čini 30 pojedinaca koji zastupaju interese različitih kategorija dionika financijskog tržišta EU. Tijelo ima savjetodavnu ulogu te olakšava dijalog između ESMA-e i ključnih sudionika financijskih tržišta EU, ukazuje na nedosljednosti u primjenama EU regulative te nadzornim praksama u državama članica i općenito savjetuje ESMA-u vezano uz  standarde, smjernice, preporuke i politike tržišta. Izabrani članovi započinju svoj četverogodišnji mandat 1. srpnja 2020.</w:t>
      </w:r>
    </w:p>
    <w:p w14:paraId="36F5F393" w14:textId="13082D9B" w:rsidR="00363A9D" w:rsidRDefault="001C589B" w:rsidP="001C589B">
      <w:pPr>
        <w:jc w:val="both"/>
      </w:pPr>
      <w:r w:rsidRPr="001C589B">
        <w:t>Na kraju polugodiš</w:t>
      </w:r>
      <w:r w:rsidRPr="001C589B">
        <w:softHyphen/>
        <w:t>ta, Burza je najavila početak računanja novog dioničkog indeksa, CROBEX10tr, jedanaestog dioničkog indeksa Zagrebačke burze i drugog indeksa ukupnoga prinosa, kako bi se ulagateljima ponudio veći broj obradivih podataka te olakšalo donošenje investicijskih odluka kao i omogućilo sveobuhvatnije i jednostavnije praćenje tržišnih kretanja. Ovakvi indeksi ujedno su prikladni i za izdavanje strukturiranih proizvoda ili fondova čijim se udjelima trguje na burzi.</w:t>
      </w:r>
    </w:p>
    <w:p w14:paraId="371A1449" w14:textId="77777777" w:rsidR="001C589B" w:rsidRPr="001C589B" w:rsidRDefault="001C589B">
      <w:r w:rsidRPr="001C589B">
        <w:br w:type="page"/>
      </w:r>
    </w:p>
    <w:p w14:paraId="148E2DF0" w14:textId="1B340E6C" w:rsidR="00663B62" w:rsidRPr="00F816AD" w:rsidRDefault="00663B62" w:rsidP="00663B62">
      <w:pPr>
        <w:pStyle w:val="Heading3"/>
        <w:tabs>
          <w:tab w:val="right" w:pos="9072"/>
        </w:tabs>
        <w:rPr>
          <w:rFonts w:asciiTheme="minorHAnsi" w:hAnsiTheme="minorHAnsi"/>
          <w:color w:val="5F497A" w:themeColor="accent4" w:themeShade="BF"/>
          <w:spacing w:val="40"/>
          <w:sz w:val="28"/>
        </w:rPr>
      </w:pPr>
      <w:r w:rsidRPr="00F816AD">
        <w:rPr>
          <w:rFonts w:asciiTheme="minorHAnsi" w:hAnsiTheme="minorHAnsi"/>
          <w:color w:val="5F497A" w:themeColor="accent4" w:themeShade="BF"/>
          <w:spacing w:val="40"/>
          <w:sz w:val="28"/>
        </w:rPr>
        <w:lastRenderedPageBreak/>
        <w:t xml:space="preserve">TRGOVANJE </w:t>
      </w:r>
      <w:r w:rsidR="001F6FBA" w:rsidRPr="00F816AD">
        <w:rPr>
          <w:rFonts w:asciiTheme="minorHAnsi" w:hAnsiTheme="minorHAnsi"/>
          <w:color w:val="5F497A" w:themeColor="accent4" w:themeShade="BF"/>
          <w:spacing w:val="40"/>
          <w:sz w:val="28"/>
        </w:rPr>
        <w:t>U</w:t>
      </w:r>
      <w:r w:rsidR="001F6FBA">
        <w:rPr>
          <w:rFonts w:asciiTheme="minorHAnsi" w:hAnsiTheme="minorHAnsi"/>
          <w:color w:val="5F497A" w:themeColor="accent4" w:themeShade="BF"/>
          <w:spacing w:val="40"/>
          <w:sz w:val="28"/>
        </w:rPr>
        <w:t xml:space="preserve"> </w:t>
      </w:r>
      <w:r w:rsidR="00A044D8">
        <w:rPr>
          <w:rFonts w:asciiTheme="minorHAnsi" w:hAnsiTheme="minorHAnsi"/>
          <w:color w:val="5F497A" w:themeColor="accent4" w:themeShade="BF"/>
          <w:spacing w:val="40"/>
          <w:sz w:val="28"/>
        </w:rPr>
        <w:t xml:space="preserve">PRVOM POLUGODIŠTU </w:t>
      </w:r>
      <w:r w:rsidR="001F6FBA" w:rsidRPr="00F816AD">
        <w:rPr>
          <w:rFonts w:asciiTheme="minorHAnsi" w:hAnsiTheme="minorHAnsi"/>
          <w:color w:val="5F497A" w:themeColor="accent4" w:themeShade="BF"/>
          <w:spacing w:val="40"/>
          <w:sz w:val="28"/>
        </w:rPr>
        <w:t>20</w:t>
      </w:r>
      <w:r w:rsidR="001C589B">
        <w:rPr>
          <w:rFonts w:asciiTheme="minorHAnsi" w:hAnsiTheme="minorHAnsi"/>
          <w:color w:val="5F497A" w:themeColor="accent4" w:themeShade="BF"/>
          <w:spacing w:val="40"/>
          <w:sz w:val="28"/>
        </w:rPr>
        <w:t>2</w:t>
      </w:r>
      <w:r w:rsidR="00A044D8">
        <w:rPr>
          <w:rFonts w:asciiTheme="minorHAnsi" w:hAnsiTheme="minorHAnsi"/>
          <w:color w:val="5F497A" w:themeColor="accent4" w:themeShade="BF"/>
          <w:spacing w:val="40"/>
          <w:sz w:val="28"/>
        </w:rPr>
        <w:t>0</w:t>
      </w:r>
      <w:r w:rsidR="001F6FBA" w:rsidRPr="00F816AD">
        <w:rPr>
          <w:rFonts w:asciiTheme="minorHAnsi" w:hAnsiTheme="minorHAnsi"/>
          <w:color w:val="5F497A" w:themeColor="accent4" w:themeShade="BF"/>
          <w:spacing w:val="40"/>
          <w:sz w:val="28"/>
        </w:rPr>
        <w:t>. GODINI</w:t>
      </w:r>
    </w:p>
    <w:p w14:paraId="7888A83B" w14:textId="77777777" w:rsidR="001C589B" w:rsidRPr="001C589B" w:rsidRDefault="001C589B" w:rsidP="001C589B">
      <w:pPr>
        <w:jc w:val="both"/>
      </w:pPr>
      <w:r w:rsidRPr="001C589B">
        <w:t xml:space="preserve">Godina je započela solidnim trgovinskom statistikom, logičnim nastavkom vrlo dobre 2019.,  što će se pokazati korisnim amortizerom za događanja koja će uslijediti krajem prvoga kvartala. </w:t>
      </w:r>
    </w:p>
    <w:p w14:paraId="2DAAC9E8" w14:textId="77777777" w:rsidR="001C589B" w:rsidRPr="001C589B" w:rsidRDefault="001C589B" w:rsidP="001C589B">
      <w:pPr>
        <w:jc w:val="both"/>
      </w:pPr>
      <w:r w:rsidRPr="001C589B">
        <w:t>Sumnja na prvog COVID pozitivnog pacijenta u Hrvatskoj se pojavila 24. veljače 2020., i već je tada CROBEX u jednom danu izgubio gotovo 5% svoje vrijednosti. Drugi dan sumnja je potvrđena, a CROBEX je ostvario novi gubitak od dodatnih gotovo 2%. U sljedećih nekoliko tjedana uslijedila je velika volatilnosti tržišta, izuzetno intenzivno trgovanje, uz prosječan ukupni dnevni promet od oko 30 milijuna kuna, otprilike 3 puta više nego što uobičajeno. Promet dionicama unutar knjige ponuda na kraju ožujka bio je gotovo +50% veći nego mjesec ranije, a ukupni promet +58%. Tržišna kapitalizacija dionica u konačnici je pala -13,3%, a CROBEX je na mjesečnoj razini bio korigiran -20,6%. Korekcija ostalih indeksa također je bila dvoznamenkasta, u rasponu od -17,23% (</w:t>
      </w:r>
      <w:proofErr w:type="spellStart"/>
      <w:r w:rsidRPr="001C589B">
        <w:t>CROBEXnutris</w:t>
      </w:r>
      <w:proofErr w:type="spellEnd"/>
      <w:r w:rsidRPr="001C589B">
        <w:t>) do -25,9% (</w:t>
      </w:r>
      <w:proofErr w:type="spellStart"/>
      <w:r w:rsidRPr="001C589B">
        <w:t>CROBEXindustrija</w:t>
      </w:r>
      <w:proofErr w:type="spellEnd"/>
      <w:r w:rsidRPr="001C589B">
        <w:t>).</w:t>
      </w:r>
    </w:p>
    <w:p w14:paraId="0C10A778" w14:textId="77777777" w:rsidR="001C589B" w:rsidRPr="001C589B" w:rsidRDefault="001C589B" w:rsidP="001C589B">
      <w:pPr>
        <w:jc w:val="both"/>
      </w:pPr>
      <w:r w:rsidRPr="001C589B">
        <w:t>Travanj je bio obilježen razmjernim smirivanjem aktivnosti na tržištu, pri čemu je promet dionicama bio prepolovljen, no još uvijek značajno viši nego u siječnju ove godine (cca +50%-</w:t>
      </w:r>
      <w:proofErr w:type="spellStart"/>
      <w:r w:rsidRPr="001C589B">
        <w:t>ak</w:t>
      </w:r>
      <w:proofErr w:type="spellEnd"/>
      <w:r w:rsidRPr="001C589B">
        <w:t>). Svibanj i lipanj donijeli su dodatnu stabilizaciju tržišta i blagi oporavak vrijednosti indeksa i tržišne kapitalizacije.</w:t>
      </w:r>
    </w:p>
    <w:p w14:paraId="75F5666E" w14:textId="77777777" w:rsidR="001C589B" w:rsidRPr="001C589B" w:rsidRDefault="001C589B" w:rsidP="001C589B">
      <w:pPr>
        <w:jc w:val="both"/>
      </w:pPr>
      <w:r w:rsidRPr="001C589B">
        <w:t xml:space="preserve">U usporedbi s prethodnim polugodištem, promet unutar knjige ponuda bio je gotovo +5% bolji, od čega je promet dionicama rastao gotovo +11%. Živost tržišta ogledala se i u povećanom broju transakcija, kojih je bilo oko +33% više nego u prvoj polovici prošle godine. </w:t>
      </w:r>
    </w:p>
    <w:p w14:paraId="626780DF" w14:textId="77777777" w:rsidR="001C589B" w:rsidRPr="001C589B" w:rsidRDefault="001C589B" w:rsidP="001C589B">
      <w:pPr>
        <w:jc w:val="both"/>
      </w:pPr>
      <w:r w:rsidRPr="001C589B">
        <w:t>Vrijednost tržišta iskazana tržišnom kapitalizacijom ukupno je pala oko -6%, a indeksi su korigirani dvoznamenkasto, u rasponu od oko -13% (</w:t>
      </w:r>
      <w:proofErr w:type="spellStart"/>
      <w:r w:rsidRPr="001C589B">
        <w:t>CROBEXkonstrukt</w:t>
      </w:r>
      <w:proofErr w:type="spellEnd"/>
      <w:r w:rsidRPr="001C589B">
        <w:t xml:space="preserve">, </w:t>
      </w:r>
      <w:proofErr w:type="spellStart"/>
      <w:r w:rsidRPr="001C589B">
        <w:t>CROBEXnutris</w:t>
      </w:r>
      <w:proofErr w:type="spellEnd"/>
      <w:r w:rsidRPr="001C589B">
        <w:t xml:space="preserve">, </w:t>
      </w:r>
      <w:proofErr w:type="spellStart"/>
      <w:r w:rsidRPr="001C589B">
        <w:t>CROBEXplus</w:t>
      </w:r>
      <w:proofErr w:type="spellEnd"/>
      <w:r w:rsidRPr="001C589B">
        <w:t xml:space="preserve">) do gotovo -20% (CROBEX). </w:t>
      </w:r>
    </w:p>
    <w:sectPr w:rsidR="001C589B" w:rsidRPr="001C589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1482E" w14:textId="77777777" w:rsidR="00363A9D" w:rsidRDefault="00363A9D" w:rsidP="00363A9D">
      <w:pPr>
        <w:spacing w:after="0" w:line="240" w:lineRule="auto"/>
      </w:pPr>
      <w:r>
        <w:separator/>
      </w:r>
    </w:p>
  </w:endnote>
  <w:endnote w:type="continuationSeparator" w:id="0">
    <w:p w14:paraId="41747DAE" w14:textId="77777777" w:rsidR="00363A9D" w:rsidRDefault="00363A9D" w:rsidP="00363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FF7D3" w14:textId="77777777" w:rsidR="008735DF" w:rsidRPr="00854753" w:rsidRDefault="00854753" w:rsidP="00854753">
    <w:pPr>
      <w:pStyle w:val="Footer"/>
      <w:jc w:val="right"/>
      <w:rPr>
        <w:color w:val="5F497A" w:themeColor="accent4" w:themeShade="BF"/>
      </w:rPr>
    </w:pPr>
    <w:r w:rsidRPr="00854753">
      <w:rPr>
        <w:noProof/>
        <w:color w:val="5F497A" w:themeColor="accent4" w:themeShade="BF"/>
        <w:lang w:eastAsia="hr-HR"/>
      </w:rPr>
      <mc:AlternateContent>
        <mc:Choice Requires="wps">
          <w:drawing>
            <wp:anchor distT="0" distB="0" distL="114300" distR="114300" simplePos="0" relativeHeight="251660288" behindDoc="0" locked="0" layoutInCell="1" allowOverlap="1" wp14:anchorId="44661E2C" wp14:editId="1CA05594">
              <wp:simplePos x="0" y="0"/>
              <wp:positionH relativeFrom="page">
                <wp:align>center</wp:align>
              </wp:positionH>
              <wp:positionV relativeFrom="page">
                <wp:align>center</wp:align>
              </wp:positionV>
              <wp:extent cx="7364730" cy="9528810"/>
              <wp:effectExtent l="0" t="0" r="18415" b="15240"/>
              <wp:wrapNone/>
              <wp:docPr id="40" name="Rectangle 40"/>
              <wp:cNvGraphicFramePr/>
              <a:graphic xmlns:a="http://schemas.openxmlformats.org/drawingml/2006/main">
                <a:graphicData uri="http://schemas.microsoft.com/office/word/2010/wordprocessingShape">
                  <wps:wsp>
                    <wps:cNvSpPr/>
                    <wps:spPr>
                      <a:xfrm>
                        <a:off x="0" y="0"/>
                        <a:ext cx="7364730" cy="9528810"/>
                      </a:xfrm>
                      <a:prstGeom prst="rect">
                        <a:avLst/>
                      </a:prstGeom>
                      <a:noFill/>
                      <a:ln w="1905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3043F6B" id="Rectangle 40"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" filled="f" strokecolor="#bfbfbf [2412]" strokeweight="1.5pt">
              <w10:wrap anchorx="page" anchory="page"/>
            </v:rect>
          </w:pict>
        </mc:Fallback>
      </mc:AlternateContent>
    </w:r>
    <w:r w:rsidRPr="00854753">
      <w:rPr>
        <w:rFonts w:eastAsiaTheme="minorEastAsia"/>
        <w:color w:val="5F497A" w:themeColor="accent4" w:themeShade="BF"/>
        <w:sz w:val="20"/>
        <w:szCs w:val="20"/>
      </w:rPr>
      <w:fldChar w:fldCharType="begin"/>
    </w:r>
    <w:r w:rsidRPr="00854753">
      <w:rPr>
        <w:color w:val="5F497A" w:themeColor="accent4" w:themeShade="BF"/>
        <w:sz w:val="20"/>
        <w:szCs w:val="20"/>
      </w:rPr>
      <w:instrText xml:space="preserve"> PAGE    \* MERGEFORMAT </w:instrText>
    </w:r>
    <w:r w:rsidRPr="00854753">
      <w:rPr>
        <w:rFonts w:eastAsiaTheme="minorEastAsia"/>
        <w:color w:val="5F497A" w:themeColor="accent4" w:themeShade="BF"/>
        <w:sz w:val="20"/>
        <w:szCs w:val="20"/>
      </w:rPr>
      <w:fldChar w:fldCharType="separate"/>
    </w:r>
    <w:r w:rsidR="000561CB" w:rsidRPr="000561CB">
      <w:rPr>
        <w:rFonts w:eastAsiaTheme="majorEastAsia" w:cstheme="majorBidi"/>
        <w:noProof/>
        <w:color w:val="5F497A" w:themeColor="accent4" w:themeShade="BF"/>
        <w:sz w:val="20"/>
        <w:szCs w:val="20"/>
      </w:rPr>
      <w:t>1</w:t>
    </w:r>
    <w:r w:rsidRPr="00854753">
      <w:rPr>
        <w:rFonts w:eastAsiaTheme="majorEastAsia" w:cstheme="majorBidi"/>
        <w:noProof/>
        <w:color w:val="5F497A" w:themeColor="accent4" w:themeShade="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537EC" w14:textId="77777777" w:rsidR="00363A9D" w:rsidRDefault="00363A9D" w:rsidP="00363A9D">
      <w:pPr>
        <w:spacing w:after="0" w:line="240" w:lineRule="auto"/>
      </w:pPr>
      <w:r>
        <w:separator/>
      </w:r>
    </w:p>
  </w:footnote>
  <w:footnote w:type="continuationSeparator" w:id="0">
    <w:p w14:paraId="604D5F61" w14:textId="77777777" w:rsidR="00363A9D" w:rsidRDefault="00363A9D" w:rsidP="00363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DA50D" w14:textId="77777777" w:rsidR="00363A9D" w:rsidRDefault="00363A9D" w:rsidP="00363A9D">
    <w:pPr>
      <w:pStyle w:val="Heading3"/>
      <w:tabs>
        <w:tab w:val="right" w:pos="9072"/>
      </w:tabs>
      <w:rPr>
        <w:rFonts w:asciiTheme="minorHAnsi" w:hAnsiTheme="minorHAnsi"/>
        <w:color w:val="5F497A" w:themeColor="accent4" w:themeShade="BF"/>
        <w:spacing w:val="40"/>
      </w:rPr>
    </w:pPr>
    <w:r w:rsidRPr="00363A9D">
      <w:rPr>
        <w:rFonts w:asciiTheme="minorHAnsi" w:hAnsiTheme="minorHAnsi"/>
        <w:noProof/>
        <w:color w:val="5F497A" w:themeColor="accent4" w:themeShade="BF"/>
        <w:spacing w:val="40"/>
        <w:lang w:eastAsia="hr-HR"/>
      </w:rPr>
      <w:drawing>
        <wp:anchor distT="0" distB="0" distL="114300" distR="114300" simplePos="0" relativeHeight="251658240" behindDoc="1" locked="0" layoutInCell="1" allowOverlap="1" wp14:anchorId="1AB04232" wp14:editId="76E82F29">
          <wp:simplePos x="0" y="0"/>
          <wp:positionH relativeFrom="column">
            <wp:posOffset>4919980</wp:posOffset>
          </wp:positionH>
          <wp:positionV relativeFrom="paragraph">
            <wp:posOffset>157480</wp:posOffset>
          </wp:positionV>
          <wp:extent cx="1038225" cy="1028700"/>
          <wp:effectExtent l="0" t="0" r="9525" b="0"/>
          <wp:wrapTight wrapText="bothSides">
            <wp:wrapPolygon edited="0">
              <wp:start x="0" y="0"/>
              <wp:lineTo x="0" y="21200"/>
              <wp:lineTo x="21402" y="21200"/>
              <wp:lineTo x="2140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grebacka-burza---logo-vertikalno.jpg"/>
                  <pic:cNvPicPr/>
                </pic:nvPicPr>
                <pic:blipFill rotWithShape="1">
                  <a:blip r:embed="rId1" cstate="print">
                    <a:extLst>
                      <a:ext uri="{28A0092B-C50C-407E-A947-70E740481C1C}">
                        <a14:useLocalDpi xmlns:a14="http://schemas.microsoft.com/office/drawing/2010/main" val="0"/>
                      </a:ext>
                    </a:extLst>
                  </a:blip>
                  <a:srcRect l="15000" t="16249" r="13125" b="12501"/>
                  <a:stretch/>
                </pic:blipFill>
                <pic:spPr bwMode="auto">
                  <a:xfrm>
                    <a:off x="0" y="0"/>
                    <a:ext cx="1038225" cy="1028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051DB62" w14:textId="59FDBCD3" w:rsidR="00363A9D" w:rsidRPr="00854753" w:rsidRDefault="00363A9D" w:rsidP="00363A9D">
    <w:pPr>
      <w:pStyle w:val="Heading3"/>
      <w:tabs>
        <w:tab w:val="right" w:pos="9072"/>
      </w:tabs>
      <w:rPr>
        <w:rFonts w:asciiTheme="minorHAnsi" w:hAnsiTheme="minorHAnsi"/>
        <w:color w:val="5F497A" w:themeColor="accent4" w:themeShade="BF"/>
        <w:spacing w:val="40"/>
        <w:sz w:val="36"/>
      </w:rPr>
    </w:pPr>
    <w:r w:rsidRPr="00854753">
      <w:rPr>
        <w:rFonts w:asciiTheme="minorHAnsi" w:hAnsiTheme="minorHAnsi"/>
        <w:color w:val="5F497A" w:themeColor="accent4" w:themeShade="BF"/>
        <w:spacing w:val="40"/>
        <w:sz w:val="36"/>
      </w:rPr>
      <w:t xml:space="preserve">ZAGREBAČKA BURZA U </w:t>
    </w:r>
    <w:r w:rsidR="00A044D8">
      <w:rPr>
        <w:rFonts w:asciiTheme="minorHAnsi" w:hAnsiTheme="minorHAnsi"/>
        <w:color w:val="5F497A" w:themeColor="accent4" w:themeShade="BF"/>
        <w:spacing w:val="40"/>
        <w:sz w:val="36"/>
      </w:rPr>
      <w:t xml:space="preserve">PRVOM POLUGODIŠTU </w:t>
    </w:r>
    <w:r w:rsidRPr="00854753">
      <w:rPr>
        <w:rFonts w:asciiTheme="minorHAnsi" w:hAnsiTheme="minorHAnsi"/>
        <w:color w:val="5F497A" w:themeColor="accent4" w:themeShade="BF"/>
        <w:spacing w:val="40"/>
        <w:sz w:val="36"/>
      </w:rPr>
      <w:t>20</w:t>
    </w:r>
    <w:r w:rsidR="00A044D8">
      <w:rPr>
        <w:rFonts w:asciiTheme="minorHAnsi" w:hAnsiTheme="minorHAnsi"/>
        <w:color w:val="5F497A" w:themeColor="accent4" w:themeShade="BF"/>
        <w:spacing w:val="40"/>
        <w:sz w:val="36"/>
      </w:rPr>
      <w:t>2</w:t>
    </w:r>
    <w:r w:rsidR="001C589B">
      <w:rPr>
        <w:rFonts w:asciiTheme="minorHAnsi" w:hAnsiTheme="minorHAnsi"/>
        <w:color w:val="5F497A" w:themeColor="accent4" w:themeShade="BF"/>
        <w:spacing w:val="40"/>
        <w:sz w:val="36"/>
      </w:rPr>
      <w:t>0</w:t>
    </w:r>
    <w:r w:rsidRPr="00854753">
      <w:rPr>
        <w:rFonts w:asciiTheme="minorHAnsi" w:hAnsiTheme="minorHAnsi"/>
        <w:color w:val="5F497A" w:themeColor="accent4" w:themeShade="BF"/>
        <w:spacing w:val="40"/>
        <w:sz w:val="36"/>
      </w:rPr>
      <w:t>. GODIN</w:t>
    </w:r>
    <w:r w:rsidR="00A044D8">
      <w:rPr>
        <w:rFonts w:asciiTheme="minorHAnsi" w:hAnsiTheme="minorHAnsi"/>
        <w:color w:val="5F497A" w:themeColor="accent4" w:themeShade="BF"/>
        <w:spacing w:val="40"/>
        <w:sz w:val="36"/>
      </w:rPr>
      <w:t>E</w:t>
    </w:r>
  </w:p>
  <w:p w14:paraId="3F5A1B83" w14:textId="77777777" w:rsidR="00363A9D" w:rsidRDefault="00363A9D" w:rsidP="00363A9D"/>
  <w:p w14:paraId="7EDE536B" w14:textId="4D8FB235" w:rsidR="00363A9D" w:rsidRDefault="00363A9D" w:rsidP="00363A9D">
    <w:pPr>
      <w:pStyle w:val="Header"/>
      <w:jc w:val="right"/>
    </w:pPr>
  </w:p>
  <w:p w14:paraId="1CB47E29" w14:textId="77777777" w:rsidR="001C589B" w:rsidRDefault="001C589B" w:rsidP="00363A9D">
    <w:pPr>
      <w:pStyle w:val="Header"/>
      <w:jc w:val="right"/>
    </w:pPr>
  </w:p>
  <w:p w14:paraId="3233201D" w14:textId="77777777" w:rsidR="00363A9D" w:rsidRDefault="00363A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9D0"/>
    <w:rsid w:val="000561CB"/>
    <w:rsid w:val="001C589B"/>
    <w:rsid w:val="001F6FBA"/>
    <w:rsid w:val="00266E5B"/>
    <w:rsid w:val="0030077F"/>
    <w:rsid w:val="00363A9D"/>
    <w:rsid w:val="00663B62"/>
    <w:rsid w:val="007C26DE"/>
    <w:rsid w:val="00854753"/>
    <w:rsid w:val="008735DF"/>
    <w:rsid w:val="009239D6"/>
    <w:rsid w:val="009C79AD"/>
    <w:rsid w:val="009F1018"/>
    <w:rsid w:val="00A044D8"/>
    <w:rsid w:val="00A7726A"/>
    <w:rsid w:val="00BB73B1"/>
    <w:rsid w:val="00C33A42"/>
    <w:rsid w:val="00CE08DB"/>
    <w:rsid w:val="00F309D0"/>
    <w:rsid w:val="00F81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BCDFD2"/>
  <w15:docId w15:val="{D8B8B010-037A-4940-94CB-60CB037AC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A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3A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3A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3A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3A9D"/>
    <w:rPr>
      <w:rFonts w:ascii="Tahoma" w:hAnsi="Tahoma" w:cs="Tahoma"/>
      <w:sz w:val="16"/>
      <w:szCs w:val="16"/>
    </w:rPr>
  </w:style>
  <w:style w:type="paragraph" w:styleId="Header">
    <w:name w:val="header"/>
    <w:basedOn w:val="Normal"/>
    <w:link w:val="HeaderChar"/>
    <w:uiPriority w:val="99"/>
    <w:unhideWhenUsed/>
    <w:rsid w:val="00363A9D"/>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3A9D"/>
  </w:style>
  <w:style w:type="paragraph" w:styleId="Footer">
    <w:name w:val="footer"/>
    <w:basedOn w:val="Normal"/>
    <w:link w:val="FooterChar"/>
    <w:uiPriority w:val="99"/>
    <w:unhideWhenUsed/>
    <w:rsid w:val="00363A9D"/>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3A9D"/>
  </w:style>
  <w:style w:type="character" w:customStyle="1" w:styleId="Heading1Char">
    <w:name w:val="Heading 1 Char"/>
    <w:basedOn w:val="DefaultParagraphFont"/>
    <w:link w:val="Heading1"/>
    <w:uiPriority w:val="9"/>
    <w:rsid w:val="00363A9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63A9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63A9D"/>
    <w:rPr>
      <w:rFonts w:asciiTheme="majorHAnsi" w:eastAsiaTheme="majorEastAsia" w:hAnsiTheme="majorHAnsi" w:cstheme="majorBidi"/>
      <w:b/>
      <w:bCs/>
      <w:color w:val="4F81BD" w:themeColor="accent1"/>
    </w:rPr>
  </w:style>
  <w:style w:type="paragraph" w:styleId="NoSpacing">
    <w:name w:val="No Spacing"/>
    <w:uiPriority w:val="1"/>
    <w:qFormat/>
    <w:rsid w:val="00363A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C8A60-28EC-4B59-BAF0-323A374D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sanda</dc:creator>
  <cp:lastModifiedBy>Gordana Miskulin</cp:lastModifiedBy>
  <cp:revision>4</cp:revision>
  <dcterms:created xsi:type="dcterms:W3CDTF">2020-07-03T10:52:00Z</dcterms:created>
  <dcterms:modified xsi:type="dcterms:W3CDTF">2020-07-03T10:55:00Z</dcterms:modified>
</cp:coreProperties>
</file>