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A9D" w:rsidRPr="009239D6" w:rsidRDefault="00363A9D" w:rsidP="00363A9D">
      <w:pPr>
        <w:pStyle w:val="Heading3"/>
        <w:tabs>
          <w:tab w:val="right" w:pos="9072"/>
        </w:tabs>
        <w:rPr>
          <w:rFonts w:asciiTheme="minorHAnsi" w:hAnsiTheme="minorHAnsi"/>
          <w:color w:val="5F497A" w:themeColor="accent4" w:themeShade="BF"/>
          <w:spacing w:val="40"/>
          <w:sz w:val="28"/>
        </w:rPr>
      </w:pPr>
      <w:r w:rsidRPr="009239D6">
        <w:rPr>
          <w:rFonts w:asciiTheme="minorHAnsi" w:hAnsiTheme="minorHAnsi"/>
          <w:color w:val="5F497A" w:themeColor="accent4" w:themeShade="BF"/>
          <w:spacing w:val="40"/>
          <w:sz w:val="28"/>
        </w:rPr>
        <w:t>RIJEČ UPRAVE</w:t>
      </w:r>
    </w:p>
    <w:p w:rsidR="00363A9D" w:rsidRPr="00363A9D" w:rsidRDefault="00363A9D" w:rsidP="00363A9D"/>
    <w:p w:rsidR="000561CB" w:rsidRDefault="000561CB" w:rsidP="000561CB">
      <w:pPr>
        <w:jc w:val="both"/>
      </w:pPr>
      <w:r>
        <w:t xml:space="preserve">Godina je većinom protekla pod utjecajem izazovnih okolnosti koje su oblikovale prilično raznoliku tržišnu sliku, no u svakom je slučaju bila ispunjena brojnim aktivnostima, događanjima i projektima usmjerenima jačanju </w:t>
      </w:r>
      <w:r w:rsidRPr="008C3142">
        <w:t xml:space="preserve">kapaciteta </w:t>
      </w:r>
      <w:r>
        <w:t xml:space="preserve">tržišta kapitala te kreiranju </w:t>
      </w:r>
      <w:r w:rsidRPr="008C3142">
        <w:t>novih mogućnosti</w:t>
      </w:r>
      <w:r>
        <w:t xml:space="preserve"> za </w:t>
      </w:r>
      <w:proofErr w:type="spellStart"/>
      <w:r>
        <w:t>ulagatelje</w:t>
      </w:r>
      <w:proofErr w:type="spellEnd"/>
      <w:r>
        <w:t xml:space="preserve">, uvrštena društva te sve </w:t>
      </w:r>
      <w:proofErr w:type="spellStart"/>
      <w:r>
        <w:t>udjelničare</w:t>
      </w:r>
      <w:proofErr w:type="spellEnd"/>
      <w:r>
        <w:t>.</w:t>
      </w:r>
    </w:p>
    <w:p w:rsidR="000561CB" w:rsidRDefault="000561CB" w:rsidP="000561CB">
      <w:pPr>
        <w:jc w:val="both"/>
      </w:pPr>
      <w:r>
        <w:t>Na samom početku godine Progress tržište Zagrebačke burze registrirano je kao rastuće tržište malih i srednjih poduzeća, čime je ušlo među svega nekoliko prvih takvih tržišta u Europi. Progress tržište predstavlja multilateralnu trgovinsku platformu za realizaciju investicijskih planova malih i srednjih poduzeća i dio je razvojno orijentirane strategije Zagrebačke burze kojoj je cilj stvoriti uvjete koji kompanijama u svim fazama rasta mogu osigurati kapital potreban za rast te na taj način doprinijeti stvaranju pozitivnog okruženja za poduzetnike, gospodarski rast i zaposlenost. Godinu 2019. Progress tržište zaključilo je s ukupno pet izdavatelja čijim se dionicama trguje na ovoj platformi.</w:t>
      </w:r>
    </w:p>
    <w:p w:rsidR="000561CB" w:rsidRDefault="000561CB" w:rsidP="000561CB">
      <w:pPr>
        <w:jc w:val="both"/>
      </w:pPr>
      <w:r>
        <w:t>Akademija Zagrebačke burze i ove se godine aktivno uključila u obilježavanje Svjetskog i Europskog tjedna novca, kao jedna od 53.300 globalnih organizacija koje nastoje podići razinu financijske pismenosti kod mladih te potaknuti razmišljanje o financijskom planiranju budućnosti, ulaganju i poduzetništvu. Uz to je održan i četrnaesti okrugli stol Akademije Zagrebačke burze, pod nazivom „2019. – što donosi tržištu kapitala i gospodarstvu?“, s rekordnim odazivom sudionika. Akademija je u svibnju obilježila 9. godišnjicu rada, a godinu je zaključila s više od 9.000 pojedinaca koji su do sada prošli kroz neki od edukativnih programa Akademije. U srpnju je Hrvatska agencija za nadzor financijskih usluga izdala pozitivno mišljenje za edukativni program pod nazivom „ZSE L1 certifikat“, koji se može smatrati priznatom kvalifikacijom za poslove informiranja o uslugama i financijskim instrumentima sukladno Pravilniku o kvalifikacijama i kadrovskim uvjetima za pružanje investicijskih usluga, te je predmetni program uvrstila na popis priznatih kvalifikacija.</w:t>
      </w:r>
    </w:p>
    <w:p w:rsidR="000561CB" w:rsidRDefault="000561CB" w:rsidP="000561CB">
      <w:pPr>
        <w:jc w:val="both"/>
      </w:pPr>
      <w:r>
        <w:t xml:space="preserve">U veljači je započelo objavljivanje novog dioničkog indeksa Zagrebačke burze, indeksa Vodećeg tržišta </w:t>
      </w:r>
      <w:proofErr w:type="spellStart"/>
      <w:r>
        <w:t>CROBEXprime</w:t>
      </w:r>
      <w:proofErr w:type="spellEnd"/>
      <w:r>
        <w:t xml:space="preserve">, u čijem su sastavu dionice uvrštene u najviši tržišni segment Burze. U travnju se  Vodećem tržištu pridružilo i peto društvo koje je odlučilo slijediti najviše standarde korporativnog upravljanja i transparentnosti, </w:t>
      </w:r>
      <w:proofErr w:type="spellStart"/>
      <w:r>
        <w:t>Valmar</w:t>
      </w:r>
      <w:proofErr w:type="spellEnd"/>
      <w:r>
        <w:t xml:space="preserve"> Riviera d.d., čime je ujedno i proširen </w:t>
      </w:r>
      <w:proofErr w:type="spellStart"/>
      <w:r>
        <w:t>CROBEXprime</w:t>
      </w:r>
      <w:proofErr w:type="spellEnd"/>
      <w:r>
        <w:t xml:space="preserve"> indeks.</w:t>
      </w:r>
    </w:p>
    <w:p w:rsidR="000561CB" w:rsidRDefault="000561CB" w:rsidP="000561CB">
      <w:pPr>
        <w:jc w:val="both"/>
      </w:pPr>
      <w:r>
        <w:t xml:space="preserve">U lipnju je započelo objavljivanje još jednog indeksa, zajedničkog dioničkog indeksa Zagrebačke i Ljubljanske burze pod nazivom </w:t>
      </w:r>
      <w:proofErr w:type="spellStart"/>
      <w:r>
        <w:t>ADRIAprime</w:t>
      </w:r>
      <w:proofErr w:type="spellEnd"/>
      <w:r>
        <w:t xml:space="preserve">. U sastavu indeksa nalaze se dionice uvrštene u Vodeća tržišta Zagrebačke i Ljubljanske burze, a </w:t>
      </w:r>
      <w:proofErr w:type="spellStart"/>
      <w:r>
        <w:t>ADRIAprime</w:t>
      </w:r>
      <w:proofErr w:type="spellEnd"/>
      <w:r>
        <w:t xml:space="preserve"> prvi je zajednički indeks dvije burze te jedanaesti dionički indeks Zagrebačke burze.</w:t>
      </w:r>
    </w:p>
    <w:p w:rsidR="000561CB" w:rsidRDefault="000561CB" w:rsidP="000561CB">
      <w:pPr>
        <w:jc w:val="both"/>
      </w:pPr>
      <w:r>
        <w:t xml:space="preserve">Zagrebačka burza u ožujku bila je jedna od 84 burze na kojima je simboličkim zvukom zvona označen početak trgovanja na Međunarodni dan žena, kako bi se skrenula pažnja na važnu ulogu poslovnog sektora u unaprjeđenju ravnopravnosti spolova, a u svrhu postizanja ciljeva održivog razvoja. </w:t>
      </w:r>
    </w:p>
    <w:p w:rsidR="000561CB" w:rsidRDefault="000561CB" w:rsidP="000561CB">
      <w:pPr>
        <w:jc w:val="both"/>
      </w:pPr>
      <w:r w:rsidRPr="00844BC0">
        <w:lastRenderedPageBreak/>
        <w:t>U lipnju su Hrvatska agencija za nadzor financijskih usluga, Središnje klirinško depozitarno društvo i Zagrebačka burza u Zagrebu održali 10. godišnju edukaciju namijenjenu društvima čiji su vrijednosni papiri uvršteni na uređeno tržište Zagrebačke burze, sa stotinjak nazočnih predstavnika izdavatelja.</w:t>
      </w:r>
    </w:p>
    <w:p w:rsidR="000561CB" w:rsidRDefault="000561CB" w:rsidP="000561CB">
      <w:pPr>
        <w:jc w:val="both"/>
      </w:pPr>
      <w:r>
        <w:t xml:space="preserve">U travnju su Zagrebačka i Ljubljanska burza održale prvo predstavljanje svojih tržišta i izdavatelja u SAD-u. Događanje je održano u New Yorku, na NASDAQ-u, drugoj najvećoj svjetskoj burzi, u suradnji sa svjetski poznatom investicijskom kućom </w:t>
      </w:r>
      <w:proofErr w:type="spellStart"/>
      <w:r>
        <w:t>Auerbach</w:t>
      </w:r>
      <w:proofErr w:type="spellEnd"/>
      <w:r>
        <w:t xml:space="preserve"> </w:t>
      </w:r>
      <w:proofErr w:type="spellStart"/>
      <w:r>
        <w:t>Grayson</w:t>
      </w:r>
      <w:proofErr w:type="spellEnd"/>
      <w:r>
        <w:t xml:space="preserve">, uz izuzetno dobar odaziv američkih </w:t>
      </w:r>
      <w:proofErr w:type="spellStart"/>
      <w:r>
        <w:t>ulagatelja</w:t>
      </w:r>
      <w:proofErr w:type="spellEnd"/>
      <w:r>
        <w:t xml:space="preserve">. U Zagrebu su u svibnju održani 6. Slovenski i hrvatski investicijski dani, s rekordno velikim brojem sudionika, a u prosincu su obje burze organizirale prvi zajednički zimski investicijski dan u Ljubljani. Uz to, u listopadu </w:t>
      </w:r>
      <w:r w:rsidRPr="00A42C85">
        <w:t xml:space="preserve">je Zagrebačka burza održala prvi investicijski </w:t>
      </w:r>
      <w:proofErr w:type="spellStart"/>
      <w:r w:rsidRPr="00A42C85">
        <w:rPr>
          <w:i/>
        </w:rPr>
        <w:t>webcast</w:t>
      </w:r>
      <w:proofErr w:type="spellEnd"/>
      <w:r w:rsidRPr="00A42C85">
        <w:t xml:space="preserve"> za izdavatelje iz Vodećeg tržišta. Događanje je realizirano uz podršku Erste &amp; </w:t>
      </w:r>
      <w:proofErr w:type="spellStart"/>
      <w:r w:rsidRPr="00A42C85">
        <w:t>Steiermärkische</w:t>
      </w:r>
      <w:proofErr w:type="spellEnd"/>
      <w:r w:rsidRPr="00A42C85">
        <w:t xml:space="preserve"> Bank d.d. i </w:t>
      </w:r>
      <w:proofErr w:type="spellStart"/>
      <w:r w:rsidRPr="00A42C85">
        <w:t>Interkapital</w:t>
      </w:r>
      <w:proofErr w:type="spellEnd"/>
      <w:r w:rsidRPr="00A42C85">
        <w:t xml:space="preserve"> vrijednosnih papira d.o.o., </w:t>
      </w:r>
      <w:r>
        <w:t>s ciljem</w:t>
      </w:r>
      <w:r w:rsidRPr="00A42C85">
        <w:t xml:space="preserve"> otvaranj</w:t>
      </w:r>
      <w:r>
        <w:t>a</w:t>
      </w:r>
      <w:r w:rsidRPr="00A42C85">
        <w:t xml:space="preserve"> novog komunikacijskog kanala između </w:t>
      </w:r>
      <w:proofErr w:type="spellStart"/>
      <w:r w:rsidRPr="00A42C85">
        <w:t>ulagatelja</w:t>
      </w:r>
      <w:proofErr w:type="spellEnd"/>
      <w:r w:rsidRPr="00A42C85">
        <w:t xml:space="preserve"> i izdavatelja te predstavljanj</w:t>
      </w:r>
      <w:r>
        <w:t>a</w:t>
      </w:r>
      <w:r w:rsidRPr="00A42C85">
        <w:t xml:space="preserve"> kompanija iz Vodećeg tržišta, najzahtjevnijeg tržišnog segmenta, širem investicijskom krugu. </w:t>
      </w:r>
      <w:r>
        <w:t>Ukupno je tijekom 2019. uz podršku Zagrebačke i Ljubljanske burze održano više od 360 sastanaka između uvrštenih društava i investitora, a obje burze nastavit će s pojedinačnim i zajedničkim naporima za podržavanjem otvorenog dijaloga između tih dviju strana investicijskog procesa.</w:t>
      </w:r>
    </w:p>
    <w:p w:rsidR="000561CB" w:rsidRDefault="000561CB" w:rsidP="000561CB">
      <w:pPr>
        <w:jc w:val="both"/>
      </w:pPr>
      <w:r w:rsidRPr="00D0718F">
        <w:t xml:space="preserve">U listopadu je svečano usvojen novi Kodeks korporativnog upravljanja Hrvatske agencije za nadzor financijskih usluga i Zagrebačke burze d.d. Namjera je bila kreirati kraći te jednostavniji Kodeks, koji jasnije ukazuje na dobre prakse, istovremeno umanjujući vrijeme koje je </w:t>
      </w:r>
      <w:r>
        <w:t xml:space="preserve">društvima </w:t>
      </w:r>
      <w:r w:rsidRPr="00D0718F">
        <w:t>potrebno za izvještavanje, a Kodeks će se primjenjivati od 2020</w:t>
      </w:r>
      <w:r>
        <w:t xml:space="preserve">. Osobiti naglasak novog Kodeksa jest u području odgovornosti uprava i nadzornih odbora, raznolikosti članova uprave i nadzornog odbora (posebice spolne raznolikosti) te neovisnosti nadzornog odbora i njegovih odbora, kao i jednostavnije i lakše izvještavanje o stanju korporativnog upravljanja za društva obveznike Kodeksa. </w:t>
      </w:r>
      <w:r w:rsidRPr="00844BC0">
        <w:t>Na kraju listopada u Rovinju je održana konferencija „Izazov promjene“, osma zajednička konferencija Zagrebačke burze i fondovske industrije. Konferencija predstavlja središnje okupljanje financijske zajednice iz Hrvatske i regije, a ove godine na konferenciji je sudjelovalo 40-</w:t>
      </w:r>
      <w:proofErr w:type="spellStart"/>
      <w:r w:rsidRPr="00844BC0">
        <w:t>ak</w:t>
      </w:r>
      <w:proofErr w:type="spellEnd"/>
      <w:r w:rsidRPr="00844BC0">
        <w:t xml:space="preserve"> govornika te oko 450 sudionika iz svih grana financijske industrije, iz Hrvatske, regije i svijeta. Suorganizatori Konferencije su Zagrebačka burza te Udruga društava za upravljanje mirovinskim fondovima i mirovinskih osiguravajućih društava (UMFO).</w:t>
      </w:r>
    </w:p>
    <w:p w:rsidR="000561CB" w:rsidRDefault="000561CB" w:rsidP="000561CB">
      <w:pPr>
        <w:jc w:val="both"/>
      </w:pPr>
      <w:r>
        <w:t>LEI servis Zagrebačke burze, jedan od svega 34 entiteta koja su globalno akreditirana za izdavanje LEI oznake, na kraju godine upravljao je s ukupno 1037 oznaka, a kvaliteta LEI usluge Zagrebačke burze od strane Global LEI fondacije ocijenjena je s izuzetno visokih 99-100% uspješnosti prema kriterijima koje propisuje ova organizacija.</w:t>
      </w:r>
    </w:p>
    <w:p w:rsidR="000561CB" w:rsidRDefault="000561CB" w:rsidP="000561CB">
      <w:r w:rsidRPr="00844BC0">
        <w:t xml:space="preserve">Hrvatska agencija za nadzor financijskih usluga u studenom je donijela rješenje o odobrenju novih Pravila Burze, gdje se značajan dio izmjena odnosi </w:t>
      </w:r>
      <w:r>
        <w:t xml:space="preserve">na usklađivanje s </w:t>
      </w:r>
      <w:r w:rsidRPr="00844BC0">
        <w:t xml:space="preserve">tehničkim mogućnostima nove inačice trgovinskog sustava XETRA T7, kao i na terminološko usklađivanje s odredbama Zakona o tržištu kapitala. Neke od izmjena odnose se na uvođenje novog modaliteta trgovine za </w:t>
      </w:r>
      <w:proofErr w:type="spellStart"/>
      <w:r w:rsidRPr="00844BC0">
        <w:t>niskolikvidne</w:t>
      </w:r>
      <w:proofErr w:type="spellEnd"/>
      <w:r w:rsidRPr="00844BC0">
        <w:t xml:space="preserve"> </w:t>
      </w:r>
      <w:r w:rsidRPr="00844BC0">
        <w:lastRenderedPageBreak/>
        <w:t xml:space="preserve">dionice te na uvjete distribucije dionica javnosti vezano uz uvrštenje na Službeno tržište. Uz to, za izdavatelje dionica na Službenom tržištu propisana je obveza uspostave funkcije odnosa s </w:t>
      </w:r>
      <w:proofErr w:type="spellStart"/>
      <w:r w:rsidRPr="00844BC0">
        <w:t>ulagateljima</w:t>
      </w:r>
      <w:proofErr w:type="spellEnd"/>
      <w:r w:rsidRPr="00844BC0">
        <w:t xml:space="preserve">, čime se, između ostalog, nastoji unaprijediti kvaliteta izvještavanja od strane izdavatelja. </w:t>
      </w:r>
      <w:r>
        <w:t>Burza je ovim Pravilima detaljno propisala i način kontrole ispunjavanja uvjeta nakon uvrštenja za sve segmente, a sve u cilju povećanja razine transparentnosti od strane izdavatelja uvrštenih na uređeno tržište.</w:t>
      </w:r>
    </w:p>
    <w:p w:rsidR="000561CB" w:rsidRPr="00844BC0" w:rsidRDefault="000561CB" w:rsidP="000561CB">
      <w:r>
        <w:t xml:space="preserve">Početkom prosinca, </w:t>
      </w:r>
      <w:r w:rsidRPr="00844BC0">
        <w:t>uspješno je implementira</w:t>
      </w:r>
      <w:r>
        <w:t xml:space="preserve">na </w:t>
      </w:r>
      <w:r w:rsidRPr="00844BC0">
        <w:t>nov</w:t>
      </w:r>
      <w:r>
        <w:t>a</w:t>
      </w:r>
      <w:r w:rsidRPr="00844BC0">
        <w:t xml:space="preserve"> inačic</w:t>
      </w:r>
      <w:r>
        <w:t>a</w:t>
      </w:r>
      <w:r w:rsidRPr="00844BC0">
        <w:t xml:space="preserve"> trgovinskog sustava XETRA T7.</w:t>
      </w:r>
    </w:p>
    <w:p w:rsidR="000561CB" w:rsidRDefault="000561CB" w:rsidP="000561CB">
      <w:pPr>
        <w:jc w:val="both"/>
      </w:pPr>
      <w:r w:rsidRPr="00844BC0">
        <w:t>Na samom kraju godine Zagrebačka burza stekla je 5,3% vlasništva Makedonske burze (MSE), s ciljem aktivnog sudjelovanja u njenom razvoju.</w:t>
      </w:r>
      <w:r>
        <w:t xml:space="preserve"> Ranije ove godine Makedonska burza potpisala je ekskluzivni sporazum o suradnji s hrvatskim društvom </w:t>
      </w:r>
      <w:proofErr w:type="spellStart"/>
      <w:r>
        <w:t>Funderbeam</w:t>
      </w:r>
      <w:proofErr w:type="spellEnd"/>
      <w:r>
        <w:t xml:space="preserve"> </w:t>
      </w:r>
      <w:proofErr w:type="spellStart"/>
      <w:r>
        <w:t>South</w:t>
      </w:r>
      <w:proofErr w:type="spellEnd"/>
      <w:r>
        <w:t>-East Europe d.o.o. (</w:t>
      </w:r>
      <w:proofErr w:type="spellStart"/>
      <w:r>
        <w:t>Funderbeam</w:t>
      </w:r>
      <w:proofErr w:type="spellEnd"/>
      <w:r>
        <w:t xml:space="preserve"> SEE), u kojem Zagrebačka burza ima 20%-</w:t>
      </w:r>
      <w:proofErr w:type="spellStart"/>
      <w:r>
        <w:t>tni</w:t>
      </w:r>
      <w:proofErr w:type="spellEnd"/>
      <w:r>
        <w:t xml:space="preserve"> udio. </w:t>
      </w:r>
      <w:proofErr w:type="spellStart"/>
      <w:r>
        <w:t>Funderbeam</w:t>
      </w:r>
      <w:proofErr w:type="spellEnd"/>
      <w:r>
        <w:t xml:space="preserve"> SEE dio je estonske </w:t>
      </w:r>
      <w:proofErr w:type="spellStart"/>
      <w:r>
        <w:t>Funderbeam</w:t>
      </w:r>
      <w:proofErr w:type="spellEnd"/>
      <w:r>
        <w:t xml:space="preserve"> grupe koja upravlja platformom za financiranje </w:t>
      </w:r>
      <w:proofErr w:type="spellStart"/>
      <w:r>
        <w:t>startupova</w:t>
      </w:r>
      <w:proofErr w:type="spellEnd"/>
      <w:r>
        <w:t xml:space="preserve">. Zagrebačka i Makedonska burza niz godina uspješno surađuju na raznim projektima kojima je u fokusu snaženje lokalnih tržišta kapitala i regionalne ekonomije u cjelini, a ova suradnja nastavak je zajedničkih aktivnosti na tom polju. </w:t>
      </w:r>
      <w:proofErr w:type="spellStart"/>
      <w:r>
        <w:t>Funderbeam</w:t>
      </w:r>
      <w:proofErr w:type="spellEnd"/>
      <w:r>
        <w:t xml:space="preserve"> SEE do sada je u deset kampanja omogućio hrvatskim start-</w:t>
      </w:r>
      <w:proofErr w:type="spellStart"/>
      <w:r>
        <w:t>upovima</w:t>
      </w:r>
      <w:proofErr w:type="spellEnd"/>
      <w:r>
        <w:t xml:space="preserve"> i SME-ovima prikupljanje više od 5 </w:t>
      </w:r>
      <w:proofErr w:type="spellStart"/>
      <w:r>
        <w:t>mil</w:t>
      </w:r>
      <w:proofErr w:type="spellEnd"/>
      <w:r>
        <w:t xml:space="preserve"> EUR kapitala.</w:t>
      </w:r>
    </w:p>
    <w:p w:rsidR="000561CB" w:rsidRDefault="000561CB" w:rsidP="000561CB">
      <w:pPr>
        <w:jc w:val="both"/>
      </w:pPr>
      <w:r>
        <w:t xml:space="preserve">U prosincu je Hrvatska agencija za nadzor financijskih usluga donijela rješenje o registraciji Zagrebačke burze kao administratora neznačajnih referentnih vrijednosti (tzv. </w:t>
      </w:r>
      <w:proofErr w:type="spellStart"/>
      <w:r w:rsidRPr="00844BC0">
        <w:rPr>
          <w:i/>
        </w:rPr>
        <w:t>benchmark</w:t>
      </w:r>
      <w:proofErr w:type="spellEnd"/>
      <w:r>
        <w:t xml:space="preserve"> administrator), za svoje indekse CROBEX, </w:t>
      </w:r>
      <w:proofErr w:type="spellStart"/>
      <w:r>
        <w:t>CROBEXtr</w:t>
      </w:r>
      <w:proofErr w:type="spellEnd"/>
      <w:r>
        <w:t xml:space="preserve">, CROBEX10, </w:t>
      </w:r>
      <w:proofErr w:type="spellStart"/>
      <w:r>
        <w:t>CROBEXprime</w:t>
      </w:r>
      <w:proofErr w:type="spellEnd"/>
      <w:r>
        <w:t xml:space="preserve"> i </w:t>
      </w:r>
      <w:proofErr w:type="spellStart"/>
      <w:r>
        <w:t>ADRIAprime</w:t>
      </w:r>
      <w:proofErr w:type="spellEnd"/>
      <w:r>
        <w:t>, te je Burza upisana u registar administratora i referentnih vrijednosti koji sastavlja i održava Europsko nadzorno tijelo za vrijednosne papire i tržišta kapitala (ESMA). Time je potvrđena visoka transparentnost i kvaliteta indeksa Zagrebačke burze odnosno da isti udovoljavaju europskim regulatornim standardima.</w:t>
      </w:r>
      <w:r w:rsidRPr="00844BC0">
        <w:t xml:space="preserve"> </w:t>
      </w:r>
    </w:p>
    <w:p w:rsidR="000561CB" w:rsidRDefault="000561CB" w:rsidP="000561CB">
      <w:pPr>
        <w:jc w:val="both"/>
      </w:pPr>
      <w:r w:rsidRPr="00CE7EDA">
        <w:t xml:space="preserve">Zagrebačka burza </w:t>
      </w:r>
      <w:r>
        <w:t xml:space="preserve">u 2019. opravdala je poziciju regionalnog lidera te </w:t>
      </w:r>
      <w:r w:rsidRPr="00CE7EDA">
        <w:t>nastavila pružati visoku razinu kvalitete svojih proizvoda i usluga s ciljem jačanja kapaciteta samog tržišta</w:t>
      </w:r>
      <w:r>
        <w:t xml:space="preserve"> i </w:t>
      </w:r>
      <w:r w:rsidRPr="00CE7EDA">
        <w:t xml:space="preserve">zadovoljavanja potreba dioničara, </w:t>
      </w:r>
      <w:proofErr w:type="spellStart"/>
      <w:r w:rsidRPr="00CE7EDA">
        <w:t>ulagatelja</w:t>
      </w:r>
      <w:proofErr w:type="spellEnd"/>
      <w:r w:rsidRPr="00CE7EDA">
        <w:t xml:space="preserve">, izdavatelja, članova i svih drugih </w:t>
      </w:r>
      <w:proofErr w:type="spellStart"/>
      <w:r>
        <w:t>udjelničara</w:t>
      </w:r>
      <w:proofErr w:type="spellEnd"/>
      <w:r>
        <w:t xml:space="preserve"> za učinkovitim, transparentnim i ekonomičnim uslugama tržišta kapitala.</w:t>
      </w:r>
    </w:p>
    <w:p w:rsidR="000561CB" w:rsidRDefault="000561CB" w:rsidP="000561CB">
      <w:pPr>
        <w:jc w:val="both"/>
      </w:pPr>
      <w:r>
        <w:t>U idućoj godini aktivnosti Burze zadržat će kontinuitet postavljen u ovoj godini te će bit usmjerene povećanju razine znanja i stručnosti svih sudionika tržišta kapitala kroz Akademiju Zagrebačke burze, kontinuiranom radu z</w:t>
      </w:r>
      <w:r w:rsidRPr="008C0716">
        <w:t>ajedno s regulatorom, izdavateljima i drugim dionicima na kreiraju ok</w:t>
      </w:r>
      <w:r>
        <w:t xml:space="preserve">ruženja koje potiče izvrsnost, </w:t>
      </w:r>
      <w:r w:rsidRPr="008C0716">
        <w:t>najv</w:t>
      </w:r>
      <w:r>
        <w:t xml:space="preserve">iše etičke standarde poslovanja i korporativnog upravljanja kako bi se posredno utjecalo na povećanje vrijednosti tržišta u cjelini, kreiranju investicijskih prilika za kompanije i </w:t>
      </w:r>
      <w:proofErr w:type="spellStart"/>
      <w:r>
        <w:t>ulagatelje</w:t>
      </w:r>
      <w:proofErr w:type="spellEnd"/>
      <w:r>
        <w:t>, jačanje Vodećeg tržišta kao primjera dobre prakse po pitanju korporativnog upravljanja kao i nastojanju da se uvrštenim društvima olakša</w:t>
      </w:r>
      <w:r w:rsidRPr="008C0716">
        <w:t xml:space="preserve"> pristup lokalnim i međunarodnim investitorima </w:t>
      </w:r>
      <w:r>
        <w:t>poboljšavajući time</w:t>
      </w:r>
      <w:r w:rsidRPr="008C0716">
        <w:t xml:space="preserve"> n</w:t>
      </w:r>
      <w:r>
        <w:t>jihovu vidljivost i likvidnost te generalni interes investitora za hrvatsko</w:t>
      </w:r>
      <w:r w:rsidRPr="008C0716">
        <w:t xml:space="preserve"> tržište kapitala.</w:t>
      </w:r>
    </w:p>
    <w:p w:rsidR="00363A9D" w:rsidRDefault="00363A9D" w:rsidP="00363A9D">
      <w:bookmarkStart w:id="0" w:name="_GoBack"/>
      <w:bookmarkEnd w:id="0"/>
    </w:p>
    <w:p w:rsidR="00663B62" w:rsidRPr="00F816AD" w:rsidRDefault="00663B62" w:rsidP="00663B62">
      <w:pPr>
        <w:pStyle w:val="Heading3"/>
        <w:tabs>
          <w:tab w:val="right" w:pos="9072"/>
        </w:tabs>
        <w:rPr>
          <w:rFonts w:asciiTheme="minorHAnsi" w:hAnsiTheme="minorHAnsi"/>
          <w:color w:val="5F497A" w:themeColor="accent4" w:themeShade="BF"/>
          <w:spacing w:val="40"/>
          <w:sz w:val="28"/>
        </w:rPr>
      </w:pPr>
      <w:r w:rsidRPr="00F816AD">
        <w:rPr>
          <w:rFonts w:asciiTheme="minorHAnsi" w:hAnsiTheme="minorHAnsi"/>
          <w:color w:val="5F497A" w:themeColor="accent4" w:themeShade="BF"/>
          <w:spacing w:val="40"/>
          <w:sz w:val="28"/>
        </w:rPr>
        <w:t xml:space="preserve">TRGOVANJE </w:t>
      </w:r>
      <w:r w:rsidR="001F6FBA" w:rsidRPr="00F816AD">
        <w:rPr>
          <w:rFonts w:asciiTheme="minorHAnsi" w:hAnsiTheme="minorHAnsi"/>
          <w:color w:val="5F497A" w:themeColor="accent4" w:themeShade="BF"/>
          <w:spacing w:val="40"/>
          <w:sz w:val="28"/>
        </w:rPr>
        <w:t>U</w:t>
      </w:r>
      <w:r w:rsidR="001F6FBA">
        <w:rPr>
          <w:rFonts w:asciiTheme="minorHAnsi" w:hAnsiTheme="minorHAnsi"/>
          <w:color w:val="5F497A" w:themeColor="accent4" w:themeShade="BF"/>
          <w:spacing w:val="40"/>
          <w:sz w:val="28"/>
        </w:rPr>
        <w:t xml:space="preserve"> </w:t>
      </w:r>
      <w:r w:rsidR="001F6FBA" w:rsidRPr="00F816AD">
        <w:rPr>
          <w:rFonts w:asciiTheme="minorHAnsi" w:hAnsiTheme="minorHAnsi"/>
          <w:color w:val="5F497A" w:themeColor="accent4" w:themeShade="BF"/>
          <w:spacing w:val="40"/>
          <w:sz w:val="28"/>
        </w:rPr>
        <w:t>201</w:t>
      </w:r>
      <w:r w:rsidR="000561CB">
        <w:rPr>
          <w:rFonts w:asciiTheme="minorHAnsi" w:hAnsiTheme="minorHAnsi"/>
          <w:color w:val="5F497A" w:themeColor="accent4" w:themeShade="BF"/>
          <w:spacing w:val="40"/>
          <w:sz w:val="28"/>
        </w:rPr>
        <w:t>9</w:t>
      </w:r>
      <w:r w:rsidR="001F6FBA" w:rsidRPr="00F816AD">
        <w:rPr>
          <w:rFonts w:asciiTheme="minorHAnsi" w:hAnsiTheme="minorHAnsi"/>
          <w:color w:val="5F497A" w:themeColor="accent4" w:themeShade="BF"/>
          <w:spacing w:val="40"/>
          <w:sz w:val="28"/>
        </w:rPr>
        <w:t>. GODINI</w:t>
      </w:r>
    </w:p>
    <w:p w:rsidR="00363A9D" w:rsidRDefault="00363A9D" w:rsidP="00363A9D"/>
    <w:p w:rsidR="000561CB" w:rsidRDefault="000561CB" w:rsidP="000561CB">
      <w:pPr>
        <w:jc w:val="both"/>
      </w:pPr>
      <w:r>
        <w:t xml:space="preserve">Godina je protekla u znaku prilično </w:t>
      </w:r>
      <w:proofErr w:type="spellStart"/>
      <w:r>
        <w:t>volatilne</w:t>
      </w:r>
      <w:proofErr w:type="spellEnd"/>
      <w:r>
        <w:t xml:space="preserve"> trgovinske statistike, pri čemu je druga polovica godine većinom zabilježila pozitivan trend, primarno kao </w:t>
      </w:r>
      <w:r w:rsidRPr="00B24E68">
        <w:t xml:space="preserve">posljedicu povećanog interesa </w:t>
      </w:r>
      <w:proofErr w:type="spellStart"/>
      <w:r w:rsidRPr="00B24E68">
        <w:t>ulagatelja</w:t>
      </w:r>
      <w:proofErr w:type="spellEnd"/>
      <w:r w:rsidRPr="00B24E68">
        <w:t xml:space="preserve"> za dionicu Kraša d.d.</w:t>
      </w:r>
      <w:r>
        <w:t>, koji se u određenoj mjeri prenio i na ostatak tržišta.</w:t>
      </w:r>
    </w:p>
    <w:p w:rsidR="000561CB" w:rsidRDefault="000561CB" w:rsidP="000561CB">
      <w:pPr>
        <w:jc w:val="both"/>
      </w:pPr>
      <w:r w:rsidRPr="00CB3E4E">
        <w:t>U konačnici su rasli svi trgovinski pokazatelji</w:t>
      </w:r>
      <w:r>
        <w:t>: promet unutar knjige ponuda bio je +9% bolji, pri čemu je promet dionicama porastao +38%. Ukupno gledajući, promet je na razini godine bio gotovo +5% viši nego lani.</w:t>
      </w:r>
    </w:p>
    <w:p w:rsidR="000561CB" w:rsidRDefault="000561CB" w:rsidP="000561CB">
      <w:pPr>
        <w:jc w:val="both"/>
      </w:pPr>
      <w:r>
        <w:t>Vrijednost tržišta mjerena tržišnom kapitalizacijom osjetno je porasla, čak 13% ukupno, a dionica +11,5%, dok je najveći porast tržišne kapitalizacije zabilježilo Vodeće tržište, +70,6%.</w:t>
      </w:r>
    </w:p>
    <w:p w:rsidR="000561CB" w:rsidRDefault="000561CB" w:rsidP="000561CB">
      <w:pPr>
        <w:jc w:val="both"/>
      </w:pPr>
      <w:r>
        <w:t>Dio indeksa je korigiran (</w:t>
      </w:r>
      <w:proofErr w:type="spellStart"/>
      <w:r>
        <w:t>CROBEXkonstrukt</w:t>
      </w:r>
      <w:proofErr w:type="spellEnd"/>
      <w:r>
        <w:t xml:space="preserve">, </w:t>
      </w:r>
      <w:proofErr w:type="spellStart"/>
      <w:r>
        <w:t>CROBEXturist</w:t>
      </w:r>
      <w:proofErr w:type="spellEnd"/>
      <w:r>
        <w:t xml:space="preserve"> te </w:t>
      </w:r>
      <w:proofErr w:type="spellStart"/>
      <w:r>
        <w:t>CROBEXtransport</w:t>
      </w:r>
      <w:proofErr w:type="spellEnd"/>
      <w:r>
        <w:t xml:space="preserve">), no ostali indeksi rasli su dvoznamenkasto: najviši rast zabilježio je </w:t>
      </w:r>
      <w:proofErr w:type="spellStart"/>
      <w:r>
        <w:t>CROBEXnutris</w:t>
      </w:r>
      <w:proofErr w:type="spellEnd"/>
      <w:r>
        <w:t xml:space="preserve"> (+38,18), a slijede ga </w:t>
      </w:r>
      <w:proofErr w:type="spellStart"/>
      <w:r>
        <w:t>CROBEXtr</w:t>
      </w:r>
      <w:proofErr w:type="spellEnd"/>
      <w:r>
        <w:t xml:space="preserve"> (+19,42%), koji svjedoči o odličnom </w:t>
      </w:r>
      <w:proofErr w:type="spellStart"/>
      <w:r>
        <w:t>dividendnom</w:t>
      </w:r>
      <w:proofErr w:type="spellEnd"/>
      <w:r>
        <w:t xml:space="preserve"> prinos, zatim CROBEX10 (+18%), </w:t>
      </w:r>
      <w:proofErr w:type="spellStart"/>
      <w:r>
        <w:t>CROBEXplus</w:t>
      </w:r>
      <w:proofErr w:type="spellEnd"/>
      <w:r>
        <w:t xml:space="preserve"> (+17%), </w:t>
      </w:r>
      <w:proofErr w:type="spellStart"/>
      <w:r>
        <w:t>CROBEXprime</w:t>
      </w:r>
      <w:proofErr w:type="spellEnd"/>
      <w:r>
        <w:t xml:space="preserve"> (+16,42%) te CROBEX (+15,36%). Novi regionalni indeks </w:t>
      </w:r>
      <w:proofErr w:type="spellStart"/>
      <w:r>
        <w:t>ADRIAprime</w:t>
      </w:r>
      <w:proofErr w:type="spellEnd"/>
      <w:r>
        <w:t xml:space="preserve"> rastao je gotovo +11%.</w:t>
      </w:r>
    </w:p>
    <w:p w:rsidR="000561CB" w:rsidRDefault="000561CB" w:rsidP="000561CB">
      <w:pPr>
        <w:jc w:val="both"/>
      </w:pPr>
      <w:proofErr w:type="spellStart"/>
      <w:r>
        <w:t>Najtrgovanija</w:t>
      </w:r>
      <w:proofErr w:type="spellEnd"/>
      <w:r>
        <w:t xml:space="preserve"> dionica bila je ona Kraša d.d., a slijede ju </w:t>
      </w:r>
      <w:proofErr w:type="spellStart"/>
      <w:r>
        <w:t>Valamar</w:t>
      </w:r>
      <w:proofErr w:type="spellEnd"/>
      <w:r>
        <w:t xml:space="preserve"> Riviera d.d. te dionica Hrvatskog </w:t>
      </w:r>
      <w:proofErr w:type="spellStart"/>
      <w:r>
        <w:t>telekoma</w:t>
      </w:r>
      <w:proofErr w:type="spellEnd"/>
      <w:r>
        <w:t xml:space="preserve"> d.d., a otprilike polovica prometa koncentrirana je u prvih 10 </w:t>
      </w:r>
      <w:proofErr w:type="spellStart"/>
      <w:r>
        <w:t>najlikvidnijih</w:t>
      </w:r>
      <w:proofErr w:type="spellEnd"/>
      <w:r>
        <w:t xml:space="preserve"> dionica.</w:t>
      </w:r>
    </w:p>
    <w:p w:rsidR="000561CB" w:rsidRDefault="000561CB" w:rsidP="000561CB">
      <w:pPr>
        <w:jc w:val="both"/>
      </w:pPr>
      <w:r>
        <w:t>U 2019. godini zabilježena su dva nova uvrštenja (</w:t>
      </w:r>
      <w:proofErr w:type="spellStart"/>
      <w:r>
        <w:t>Meritus</w:t>
      </w:r>
      <w:proofErr w:type="spellEnd"/>
      <w:r>
        <w:t xml:space="preserve"> ulaganja d.d. i </w:t>
      </w:r>
      <w:proofErr w:type="spellStart"/>
      <w:r>
        <w:t>Professio</w:t>
      </w:r>
      <w:proofErr w:type="spellEnd"/>
      <w:r>
        <w:t xml:space="preserve"> </w:t>
      </w:r>
      <w:proofErr w:type="spellStart"/>
      <w:r>
        <w:t>Energia</w:t>
      </w:r>
      <w:proofErr w:type="spellEnd"/>
      <w:r>
        <w:t xml:space="preserve"> d.d.), dok je </w:t>
      </w:r>
      <w:proofErr w:type="spellStart"/>
      <w:r>
        <w:t>Valamar</w:t>
      </w:r>
      <w:proofErr w:type="spellEnd"/>
      <w:r>
        <w:t xml:space="preserve"> Riviera d.d. prešla u Vodeće tržište, najzahtjevniji tržišni segment.</w:t>
      </w:r>
    </w:p>
    <w:p w:rsidR="00663B62" w:rsidRPr="00266E5B" w:rsidRDefault="00663B62" w:rsidP="00266E5B">
      <w:pPr>
        <w:pStyle w:val="NoSpacing"/>
        <w:jc w:val="both"/>
        <w:rPr>
          <w:sz w:val="20"/>
        </w:rPr>
      </w:pPr>
    </w:p>
    <w:p w:rsidR="008735DF" w:rsidRDefault="008735DF" w:rsidP="00266E5B">
      <w:pPr>
        <w:pStyle w:val="NoSpacing"/>
        <w:jc w:val="both"/>
        <w:rPr>
          <w:sz w:val="20"/>
        </w:rPr>
      </w:pPr>
    </w:p>
    <w:p w:rsidR="008735DF" w:rsidRDefault="008735DF" w:rsidP="008735DF"/>
    <w:p w:rsidR="009C79AD" w:rsidRPr="008735DF" w:rsidRDefault="009C79AD" w:rsidP="008735DF">
      <w:pPr>
        <w:jc w:val="center"/>
      </w:pPr>
    </w:p>
    <w:sectPr w:rsidR="009C79AD" w:rsidRPr="008735DF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3A9D" w:rsidRDefault="00363A9D" w:rsidP="00363A9D">
      <w:pPr>
        <w:spacing w:after="0" w:line="240" w:lineRule="auto"/>
      </w:pPr>
      <w:r>
        <w:separator/>
      </w:r>
    </w:p>
  </w:endnote>
  <w:endnote w:type="continuationSeparator" w:id="0">
    <w:p w:rsidR="00363A9D" w:rsidRDefault="00363A9D" w:rsidP="00363A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35DF" w:rsidRPr="00854753" w:rsidRDefault="00854753" w:rsidP="00854753">
    <w:pPr>
      <w:pStyle w:val="Footer"/>
      <w:jc w:val="right"/>
      <w:rPr>
        <w:color w:val="5F497A" w:themeColor="accent4" w:themeShade="BF"/>
      </w:rPr>
    </w:pPr>
    <w:r w:rsidRPr="00854753">
      <w:rPr>
        <w:noProof/>
        <w:color w:val="5F497A" w:themeColor="accent4" w:themeShade="BF"/>
        <w:lang w:eastAsia="hr-HR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7553FB1" wp14:editId="1C796276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364730" cy="9528810"/>
              <wp:effectExtent l="0" t="0" r="18415" b="15240"/>
              <wp:wrapNone/>
              <wp:docPr id="40" name="Rectangle 4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64730" cy="9528810"/>
                      </a:xfrm>
                      <a:prstGeom prst="rect">
                        <a:avLst/>
                      </a:prstGeom>
                      <a:noFill/>
                      <a:ln w="19050">
                        <a:solidFill>
                          <a:schemeClr val="bg1">
                            <a:lumMod val="75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95000</wp14:pctWidth>
              </wp14:sizeRelH>
              <wp14:sizeRelV relativeFrom="page">
                <wp14:pctHeight>95000</wp14:pctHeight>
              </wp14:sizeRelV>
            </wp:anchor>
          </w:drawing>
        </mc:Choice>
        <mc:Fallback>
          <w:pict>
            <v:rect id="Rectangle 40" o:spid="_x0000_s1026" style="position:absolute;margin-left:0;margin-top:0;width:579.9pt;height:750.3pt;z-index:251660288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" filled="f" strokecolor="#bfbfbf [2412]" strokeweight="1.5pt">
              <w10:wrap anchorx="page" anchory="page"/>
            </v:rect>
          </w:pict>
        </mc:Fallback>
      </mc:AlternateContent>
    </w:r>
    <w:r w:rsidRPr="00854753">
      <w:rPr>
        <w:rFonts w:eastAsiaTheme="minorEastAsia"/>
        <w:color w:val="5F497A" w:themeColor="accent4" w:themeShade="BF"/>
        <w:sz w:val="20"/>
        <w:szCs w:val="20"/>
      </w:rPr>
      <w:fldChar w:fldCharType="begin"/>
    </w:r>
    <w:r w:rsidRPr="00854753">
      <w:rPr>
        <w:color w:val="5F497A" w:themeColor="accent4" w:themeShade="BF"/>
        <w:sz w:val="20"/>
        <w:szCs w:val="20"/>
      </w:rPr>
      <w:instrText xml:space="preserve"> PAGE    \* MERGEFORMAT </w:instrText>
    </w:r>
    <w:r w:rsidRPr="00854753">
      <w:rPr>
        <w:rFonts w:eastAsiaTheme="minorEastAsia"/>
        <w:color w:val="5F497A" w:themeColor="accent4" w:themeShade="BF"/>
        <w:sz w:val="20"/>
        <w:szCs w:val="20"/>
      </w:rPr>
      <w:fldChar w:fldCharType="separate"/>
    </w:r>
    <w:r w:rsidR="000561CB" w:rsidRPr="000561CB">
      <w:rPr>
        <w:rFonts w:eastAsiaTheme="majorEastAsia" w:cstheme="majorBidi"/>
        <w:noProof/>
        <w:color w:val="5F497A" w:themeColor="accent4" w:themeShade="BF"/>
        <w:sz w:val="20"/>
        <w:szCs w:val="20"/>
      </w:rPr>
      <w:t>1</w:t>
    </w:r>
    <w:r w:rsidRPr="00854753">
      <w:rPr>
        <w:rFonts w:eastAsiaTheme="majorEastAsia" w:cstheme="majorBidi"/>
        <w:noProof/>
        <w:color w:val="5F497A" w:themeColor="accent4" w:themeShade="BF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3A9D" w:rsidRDefault="00363A9D" w:rsidP="00363A9D">
      <w:pPr>
        <w:spacing w:after="0" w:line="240" w:lineRule="auto"/>
      </w:pPr>
      <w:r>
        <w:separator/>
      </w:r>
    </w:p>
  </w:footnote>
  <w:footnote w:type="continuationSeparator" w:id="0">
    <w:p w:rsidR="00363A9D" w:rsidRDefault="00363A9D" w:rsidP="00363A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3A9D" w:rsidRDefault="00363A9D" w:rsidP="00363A9D">
    <w:pPr>
      <w:pStyle w:val="Heading3"/>
      <w:tabs>
        <w:tab w:val="right" w:pos="9072"/>
      </w:tabs>
      <w:rPr>
        <w:rFonts w:asciiTheme="minorHAnsi" w:hAnsiTheme="minorHAnsi"/>
        <w:color w:val="5F497A" w:themeColor="accent4" w:themeShade="BF"/>
        <w:spacing w:val="40"/>
      </w:rPr>
    </w:pPr>
    <w:r w:rsidRPr="00363A9D">
      <w:rPr>
        <w:rFonts w:asciiTheme="minorHAnsi" w:hAnsiTheme="minorHAnsi"/>
        <w:noProof/>
        <w:color w:val="5F497A" w:themeColor="accent4" w:themeShade="BF"/>
        <w:spacing w:val="40"/>
        <w:lang w:eastAsia="hr-HR"/>
      </w:rPr>
      <w:drawing>
        <wp:anchor distT="0" distB="0" distL="114300" distR="114300" simplePos="0" relativeHeight="251658240" behindDoc="1" locked="0" layoutInCell="1" allowOverlap="1" wp14:anchorId="112A31A7" wp14:editId="1ABF7F81">
          <wp:simplePos x="0" y="0"/>
          <wp:positionH relativeFrom="column">
            <wp:posOffset>4919980</wp:posOffset>
          </wp:positionH>
          <wp:positionV relativeFrom="paragraph">
            <wp:posOffset>157480</wp:posOffset>
          </wp:positionV>
          <wp:extent cx="1038225" cy="1028700"/>
          <wp:effectExtent l="0" t="0" r="9525" b="0"/>
          <wp:wrapTight wrapText="bothSides">
            <wp:wrapPolygon edited="0">
              <wp:start x="0" y="0"/>
              <wp:lineTo x="0" y="21200"/>
              <wp:lineTo x="21402" y="21200"/>
              <wp:lineTo x="21402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Zagrebacka-burza---logo-vertikalno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000" t="16249" r="13125" b="12501"/>
                  <a:stretch/>
                </pic:blipFill>
                <pic:spPr bwMode="auto">
                  <a:xfrm>
                    <a:off x="0" y="0"/>
                    <a:ext cx="1038225" cy="10287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63A9D" w:rsidRPr="00854753" w:rsidRDefault="00363A9D" w:rsidP="00363A9D">
    <w:pPr>
      <w:pStyle w:val="Heading3"/>
      <w:tabs>
        <w:tab w:val="right" w:pos="9072"/>
      </w:tabs>
      <w:rPr>
        <w:rFonts w:asciiTheme="minorHAnsi" w:hAnsiTheme="minorHAnsi"/>
        <w:color w:val="5F497A" w:themeColor="accent4" w:themeShade="BF"/>
        <w:spacing w:val="40"/>
        <w:sz w:val="36"/>
      </w:rPr>
    </w:pPr>
    <w:r w:rsidRPr="00854753">
      <w:rPr>
        <w:rFonts w:asciiTheme="minorHAnsi" w:hAnsiTheme="minorHAnsi"/>
        <w:color w:val="5F497A" w:themeColor="accent4" w:themeShade="BF"/>
        <w:spacing w:val="40"/>
        <w:sz w:val="36"/>
      </w:rPr>
      <w:t>ZAGREBAČKA BURZA U 201</w:t>
    </w:r>
    <w:r w:rsidR="000561CB">
      <w:rPr>
        <w:rFonts w:asciiTheme="minorHAnsi" w:hAnsiTheme="minorHAnsi"/>
        <w:color w:val="5F497A" w:themeColor="accent4" w:themeShade="BF"/>
        <w:spacing w:val="40"/>
        <w:sz w:val="36"/>
      </w:rPr>
      <w:t>9</w:t>
    </w:r>
    <w:r w:rsidRPr="00854753">
      <w:rPr>
        <w:rFonts w:asciiTheme="minorHAnsi" w:hAnsiTheme="minorHAnsi"/>
        <w:color w:val="5F497A" w:themeColor="accent4" w:themeShade="BF"/>
        <w:spacing w:val="40"/>
        <w:sz w:val="36"/>
      </w:rPr>
      <w:t>. GODINI</w:t>
    </w:r>
  </w:p>
  <w:p w:rsidR="00363A9D" w:rsidRDefault="00363A9D" w:rsidP="00363A9D"/>
  <w:p w:rsidR="00363A9D" w:rsidRDefault="00363A9D" w:rsidP="00363A9D">
    <w:pPr>
      <w:pStyle w:val="Header"/>
      <w:jc w:val="right"/>
    </w:pPr>
  </w:p>
  <w:p w:rsidR="00363A9D" w:rsidRDefault="00363A9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09D0"/>
    <w:rsid w:val="000561CB"/>
    <w:rsid w:val="001F6FBA"/>
    <w:rsid w:val="00266E5B"/>
    <w:rsid w:val="0030077F"/>
    <w:rsid w:val="00363A9D"/>
    <w:rsid w:val="00663B62"/>
    <w:rsid w:val="00854753"/>
    <w:rsid w:val="008735DF"/>
    <w:rsid w:val="009239D6"/>
    <w:rsid w:val="009C79AD"/>
    <w:rsid w:val="009F1018"/>
    <w:rsid w:val="00A7726A"/>
    <w:rsid w:val="00BB73B1"/>
    <w:rsid w:val="00C33A42"/>
    <w:rsid w:val="00CE08DB"/>
    <w:rsid w:val="00F309D0"/>
    <w:rsid w:val="00F81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63A9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63A9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63A9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63A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3A9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63A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3A9D"/>
  </w:style>
  <w:style w:type="paragraph" w:styleId="Footer">
    <w:name w:val="footer"/>
    <w:basedOn w:val="Normal"/>
    <w:link w:val="FooterChar"/>
    <w:uiPriority w:val="99"/>
    <w:unhideWhenUsed/>
    <w:rsid w:val="00363A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3A9D"/>
  </w:style>
  <w:style w:type="character" w:customStyle="1" w:styleId="Heading1Char">
    <w:name w:val="Heading 1 Char"/>
    <w:basedOn w:val="DefaultParagraphFont"/>
    <w:link w:val="Heading1"/>
    <w:uiPriority w:val="9"/>
    <w:rsid w:val="00363A9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363A9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363A9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oSpacing">
    <w:name w:val="No Spacing"/>
    <w:uiPriority w:val="1"/>
    <w:qFormat/>
    <w:rsid w:val="00363A9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63A9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63A9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63A9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63A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3A9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63A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3A9D"/>
  </w:style>
  <w:style w:type="paragraph" w:styleId="Footer">
    <w:name w:val="footer"/>
    <w:basedOn w:val="Normal"/>
    <w:link w:val="FooterChar"/>
    <w:uiPriority w:val="99"/>
    <w:unhideWhenUsed/>
    <w:rsid w:val="00363A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3A9D"/>
  </w:style>
  <w:style w:type="character" w:customStyle="1" w:styleId="Heading1Char">
    <w:name w:val="Heading 1 Char"/>
    <w:basedOn w:val="DefaultParagraphFont"/>
    <w:link w:val="Heading1"/>
    <w:uiPriority w:val="9"/>
    <w:rsid w:val="00363A9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363A9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363A9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oSpacing">
    <w:name w:val="No Spacing"/>
    <w:uiPriority w:val="1"/>
    <w:qFormat/>
    <w:rsid w:val="00363A9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BC8A60-28EC-4B59-BAF0-323A374D8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1670</Words>
  <Characters>9522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sanda</dc:creator>
  <cp:lastModifiedBy>Gordana Miskulin</cp:lastModifiedBy>
  <cp:revision>3</cp:revision>
  <dcterms:created xsi:type="dcterms:W3CDTF">2020-01-03T13:43:00Z</dcterms:created>
  <dcterms:modified xsi:type="dcterms:W3CDTF">2020-01-03T13:44:00Z</dcterms:modified>
</cp:coreProperties>
</file>