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9D" w:rsidRPr="009239D6" w:rsidRDefault="00363A9D" w:rsidP="00363A9D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 w:rsidRPr="009239D6">
        <w:rPr>
          <w:rFonts w:asciiTheme="minorHAnsi" w:hAnsiTheme="minorHAnsi"/>
          <w:color w:val="5F497A" w:themeColor="accent4" w:themeShade="BF"/>
          <w:spacing w:val="40"/>
          <w:sz w:val="28"/>
        </w:rPr>
        <w:t>RIJEČ UPRAVE</w:t>
      </w:r>
    </w:p>
    <w:p w:rsidR="00363A9D" w:rsidRPr="00363A9D" w:rsidRDefault="00363A9D" w:rsidP="00363A9D"/>
    <w:p w:rsidR="00A30EE8" w:rsidRDefault="00A30EE8" w:rsidP="00A30EE8">
      <w:pPr>
        <w:jc w:val="both"/>
      </w:pPr>
      <w:r>
        <w:t>Unatoč nastavku izazovnih okolnosti koje su utjecale na trgovinske pokazatelje, čije je kretanje rezultiralo prilično raznolikom tržišnom slikom, prva polovica godine bila je ispunjena brojnim značajnim događanjima i projektima Zagrebačke burze i povezanih društava.</w:t>
      </w:r>
    </w:p>
    <w:p w:rsidR="00A30EE8" w:rsidRDefault="00A30EE8" w:rsidP="00A30EE8">
      <w:pPr>
        <w:jc w:val="both"/>
      </w:pPr>
      <w:r>
        <w:t xml:space="preserve">Na samom početku godine Progress tržište Zagrebačke burze registrirano je kao rastuće tržište malih i srednjih poduzeća, čime je ušlo među svega nekoliko prvih takvih tržišta u Europi. Progress tržište predstavlja multilateralnu trgovinsku platformu za realizaciju investicijskih planova malih i srednjih poduzeća i dio je  razvojno orijentirane strategije Zagrebačke burze kojoj je cilj stvoriti uvjete koji kompanijama u svim fazama rasta mogu osigurati kapital potreban za rast te na taj način doprinijeti stvaranju pozitivnog okruženja za poduzetnike, gospodarski rast i zaposlenost. </w:t>
      </w:r>
    </w:p>
    <w:p w:rsidR="00A30EE8" w:rsidRDefault="00A30EE8" w:rsidP="00A30EE8">
      <w:pPr>
        <w:jc w:val="both"/>
      </w:pPr>
      <w:r>
        <w:t>Akademija Zagrebačke burze i ove se godine aktivno uključila u obilježavanje Svjetskog i Europskog tjedna novca, kao jedna od 53.300 globalnih organizacija koje nastoje podići razinu financijske pismenosti kod mladih te potaknuti razmišljanje o financijskom planiranju budućnosti, ulaganju i poduzetništvu. Uz to je održan i četrnaesti okrugli stol Akademije Zagrebačke burze, pod nazivom „2019. – što donosi tržištu kapitala i gospodarstvu?“, s rekordnim odazivom sudionika. Akademija je u svibnju obilježila 9. godišnjicu rada, s više od 8.000 pojedinaca koji su do sada prošli kroz neki od edukativnih programa Akademije.</w:t>
      </w:r>
    </w:p>
    <w:p w:rsidR="00A30EE8" w:rsidRDefault="00A30EE8" w:rsidP="00A30EE8">
      <w:pPr>
        <w:jc w:val="both"/>
      </w:pPr>
      <w:r>
        <w:t xml:space="preserve">Zagrebačka burza u ožujku bila je jedna od 84 burze na kojima je simboličkim zvukom zvona označen početak trgovanja na Međunarodni dan žena, kako bi se skrenula pažnja na važnu ulogu poslovnog sektora u unaprjeđenju ravnopravnosti spolova, a u svrhu postizanja ciljeva održivog razvoja. </w:t>
      </w:r>
    </w:p>
    <w:p w:rsidR="00A30EE8" w:rsidRDefault="00A30EE8" w:rsidP="00A30EE8">
      <w:pPr>
        <w:jc w:val="both"/>
      </w:pPr>
      <w:r>
        <w:t xml:space="preserve">U travnju su Zagrebačka i Ljubljanska burza održale prvo predstavljanje svojih tržišta i izdavatelja u SAD-u. Događanje je održano u New Yorku, na NASDAQ-u, drugoj najvećoj svjetskoj burzi, u suradnji sa svjetski poznatom investicijskom kućom </w:t>
      </w:r>
      <w:proofErr w:type="spellStart"/>
      <w:r>
        <w:t>Auerbach</w:t>
      </w:r>
      <w:proofErr w:type="spellEnd"/>
      <w:r>
        <w:t xml:space="preserve"> </w:t>
      </w:r>
      <w:proofErr w:type="spellStart"/>
      <w:r>
        <w:t>Grayson</w:t>
      </w:r>
      <w:proofErr w:type="spellEnd"/>
      <w:r>
        <w:t xml:space="preserve">, uz izuzetno dobar odaziv američkih </w:t>
      </w:r>
      <w:proofErr w:type="spellStart"/>
      <w:r>
        <w:t>ulagatelja</w:t>
      </w:r>
      <w:proofErr w:type="spellEnd"/>
      <w:r>
        <w:t xml:space="preserve">. </w:t>
      </w:r>
    </w:p>
    <w:p w:rsidR="00A30EE8" w:rsidRDefault="00A30EE8" w:rsidP="00A30EE8">
      <w:pPr>
        <w:jc w:val="both"/>
      </w:pPr>
      <w:r>
        <w:t xml:space="preserve">Nastavlja se rad i na novom Kodeksu korporativnog upravljanja Hrvatske agencije za nadzor financijskih usluga i Zagrebačke burze. Izradi novog Kodeksa o korporativnom upravljanju HANFA i Burza pristupile su 2018. uz podršku Europske banke za obnovu i razvoj (EBRD) s ciljem osuvremenjivanja Kodeksa donesenog 2007. godine te zadnji put ažuriranog 2010. godine. Osobiti naglasak novog Kodeksa jest u području odgovornosti uprava i nadzornih odbora, raznolikosti članova uprave i nadzornog odbora (posebice spolne raznolikosti) te neovisnosti nadzornog odbora i njegovih odbora, kao i jednostavnije i lakše izvještavanje o stanju korporativnog upravljanja za društva obveznike Kodeksa. </w:t>
      </w:r>
    </w:p>
    <w:p w:rsidR="00A30EE8" w:rsidRDefault="00A30EE8" w:rsidP="00A30EE8">
      <w:pPr>
        <w:jc w:val="both"/>
      </w:pPr>
      <w:r>
        <w:t xml:space="preserve">LEI servis Zagrebačke burze, jedan od svega 34 entiteta koja su globalno akreditirana za izdavanje LEI oznake, na kraju polugodišta upravljao je s ukupno više od 1070 oznaka, a u prvom polugodištu </w:t>
      </w:r>
      <w:r>
        <w:lastRenderedPageBreak/>
        <w:t xml:space="preserve">kvaliteta LEI usluge Zagrebačke burze od strane Global LEI </w:t>
      </w:r>
      <w:proofErr w:type="spellStart"/>
      <w:r>
        <w:t>fundacije</w:t>
      </w:r>
      <w:proofErr w:type="spellEnd"/>
      <w:r>
        <w:t xml:space="preserve"> ocijenjena je s izuzetno visokih 99-100% uspješnosti prema kriterijima koje propisuje ova organizacija.</w:t>
      </w:r>
    </w:p>
    <w:p w:rsidR="00A30EE8" w:rsidRDefault="00A30EE8" w:rsidP="00A30EE8">
      <w:pPr>
        <w:jc w:val="both"/>
      </w:pPr>
      <w:r>
        <w:t xml:space="preserve">Makedonska burza potpisala je ekskluzivni sporazum o suradnji s hrvatskim društvom </w:t>
      </w:r>
      <w:proofErr w:type="spellStart"/>
      <w:r>
        <w:t>Funderbeam</w:t>
      </w:r>
      <w:proofErr w:type="spellEnd"/>
      <w:r>
        <w:t xml:space="preserve"> </w:t>
      </w:r>
      <w:proofErr w:type="spellStart"/>
      <w:r>
        <w:t>South</w:t>
      </w:r>
      <w:proofErr w:type="spellEnd"/>
      <w:r>
        <w:t>-East Europe d.o.o. (</w:t>
      </w:r>
      <w:proofErr w:type="spellStart"/>
      <w:r>
        <w:t>Funderbeam</w:t>
      </w:r>
      <w:proofErr w:type="spellEnd"/>
      <w:r>
        <w:t xml:space="preserve"> SEE), u kojem Zagrebačka burza ima 20%-</w:t>
      </w:r>
      <w:proofErr w:type="spellStart"/>
      <w:r>
        <w:t>tni</w:t>
      </w:r>
      <w:proofErr w:type="spellEnd"/>
      <w:r>
        <w:t xml:space="preserve"> udio. </w:t>
      </w:r>
      <w:proofErr w:type="spellStart"/>
      <w:r>
        <w:t>Funderbeam</w:t>
      </w:r>
      <w:proofErr w:type="spellEnd"/>
      <w:r>
        <w:t xml:space="preserve"> SEE dio je estonske </w:t>
      </w:r>
      <w:proofErr w:type="spellStart"/>
      <w:r>
        <w:t>Funderbeam</w:t>
      </w:r>
      <w:proofErr w:type="spellEnd"/>
      <w:r>
        <w:t xml:space="preserve"> grupe koja upravlja platformom za financiranje </w:t>
      </w:r>
      <w:proofErr w:type="spellStart"/>
      <w:r>
        <w:t>startupova</w:t>
      </w:r>
      <w:proofErr w:type="spellEnd"/>
      <w:r>
        <w:t>. Zagrebačka i Makedonska burza niz godina uspješno surađuju na raznim projektima kojima je u fokusu</w:t>
      </w:r>
      <w:bookmarkStart w:id="0" w:name="_GoBack"/>
      <w:bookmarkEnd w:id="0"/>
      <w:r>
        <w:t xml:space="preserve"> snaženje lokalnih tržišta kapitala i regionalne ekonomije u cjelini, a ova suradnja nastavak je zajedničkih aktivnosti na tom polju. </w:t>
      </w:r>
      <w:proofErr w:type="spellStart"/>
      <w:r>
        <w:t>Funderbeam</w:t>
      </w:r>
      <w:proofErr w:type="spellEnd"/>
      <w:r>
        <w:t xml:space="preserve"> SEE u prvom je polugodištu realizirao tri uspješne hrvatske kampanje, u kojima je za hrvatske start-</w:t>
      </w:r>
      <w:proofErr w:type="spellStart"/>
      <w:r>
        <w:t>upove</w:t>
      </w:r>
      <w:proofErr w:type="spellEnd"/>
      <w:r>
        <w:t xml:space="preserve"> prikupljeno oko 2,5 </w:t>
      </w:r>
      <w:proofErr w:type="spellStart"/>
      <w:r>
        <w:t>mil</w:t>
      </w:r>
      <w:proofErr w:type="spellEnd"/>
      <w:r>
        <w:t xml:space="preserve"> EUR kapitala.</w:t>
      </w:r>
    </w:p>
    <w:p w:rsidR="00A30EE8" w:rsidRDefault="00A30EE8" w:rsidP="00A30EE8">
      <w:pPr>
        <w:jc w:val="both"/>
      </w:pPr>
      <w:r>
        <w:t>U Zagrebu su u svibnju održani 6. Slovenski i hrvatski investicijski dani, na kojem je 15 kompanija s Ljubljanske i Zagrebačke burze održalo 255 sastanaka s više od 60 predstavnika investitora u samo dva dana. Ovogodišnje događanje jedno je od najraznolikijih do sada, obzirom na zemlje iz kojih investitori dolaze, ali i obzirom na rekordno velik broj sudionika.</w:t>
      </w:r>
    </w:p>
    <w:p w:rsidR="00A30EE8" w:rsidRDefault="00A30EE8" w:rsidP="00A30EE8">
      <w:pPr>
        <w:jc w:val="both"/>
      </w:pPr>
      <w:r>
        <w:t>U lipnju su Hrvatska agencija za nadzor financijskih usluga, Središnje klirinško depozitarno društvo i Zagrebačka burza u Zagrebu održali 10. godišnju edukaciju namijenjenu društvima čiji su vrijednosni papiri uvršteni na uređeno tržište Zagrebačke burze, sa stotinjak nazočnih predstavnika izdavatelja.</w:t>
      </w:r>
    </w:p>
    <w:p w:rsidR="00A30EE8" w:rsidRDefault="00A30EE8" w:rsidP="00A30EE8">
      <w:pPr>
        <w:jc w:val="both"/>
      </w:pPr>
      <w:r>
        <w:t xml:space="preserve">U veljači je započelo objavljivanje novog dioničkog indeksa Zagrebačke burze, indeksa Vodećeg tržišta </w:t>
      </w:r>
      <w:proofErr w:type="spellStart"/>
      <w:r>
        <w:t>CROBEXprime</w:t>
      </w:r>
      <w:proofErr w:type="spellEnd"/>
      <w:r>
        <w:t xml:space="preserve">, u čijem su sastavu dionice uvrštene u najviši tržišni segment Burze. U travnju se  Vodećem tržištu pridružilo i peto društvo koje je odlučilo slijediti najviše standarde korporativnog upravljanja i transparentnosti, </w:t>
      </w:r>
      <w:proofErr w:type="spellStart"/>
      <w:r>
        <w:t>Valmar</w:t>
      </w:r>
      <w:proofErr w:type="spellEnd"/>
      <w:r>
        <w:t xml:space="preserve"> Riviera d.d., čime je ujedno i proširen </w:t>
      </w:r>
      <w:proofErr w:type="spellStart"/>
      <w:r>
        <w:t>CROBEXprime</w:t>
      </w:r>
      <w:proofErr w:type="spellEnd"/>
      <w:r>
        <w:t xml:space="preserve"> indeks.</w:t>
      </w:r>
    </w:p>
    <w:p w:rsidR="007A27F0" w:rsidRDefault="00A30EE8" w:rsidP="00A30EE8">
      <w:pPr>
        <w:jc w:val="both"/>
      </w:pPr>
      <w:r>
        <w:t xml:space="preserve">U lipnju je započelo objavljivanje još jednog indeksa, zajedničkog dioničkog indeksa Zagrebačke i Ljubljanske burze pod nazivom </w:t>
      </w:r>
      <w:proofErr w:type="spellStart"/>
      <w:r>
        <w:t>ADRIAprime</w:t>
      </w:r>
      <w:proofErr w:type="spellEnd"/>
      <w:r>
        <w:t xml:space="preserve">. U sastavu indeksa nalaze se dionice uvrštene u Vodeća tržišta Zagrebačke i Ljubljanske burze, a </w:t>
      </w:r>
      <w:proofErr w:type="spellStart"/>
      <w:r>
        <w:t>ADRIAprime</w:t>
      </w:r>
      <w:proofErr w:type="spellEnd"/>
      <w:r>
        <w:t xml:space="preserve"> prvi je zajednički indeks dvije burze te jedanaesti dionički indeks Zagrebačke burze.</w:t>
      </w:r>
    </w:p>
    <w:p w:rsidR="00A30EE8" w:rsidRDefault="00A30EE8" w:rsidP="00A30EE8">
      <w:pPr>
        <w:jc w:val="both"/>
      </w:pPr>
    </w:p>
    <w:p w:rsidR="00663B62" w:rsidRDefault="007A27F0" w:rsidP="00663B62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>
        <w:rPr>
          <w:rFonts w:asciiTheme="minorHAnsi" w:hAnsiTheme="minorHAnsi"/>
          <w:color w:val="5F497A" w:themeColor="accent4" w:themeShade="BF"/>
          <w:spacing w:val="40"/>
          <w:sz w:val="28"/>
        </w:rPr>
        <w:t>TRGOVANJE U PRVOJ POLOVICI 201</w:t>
      </w:r>
      <w:r w:rsidR="005738B6">
        <w:rPr>
          <w:rFonts w:asciiTheme="minorHAnsi" w:hAnsiTheme="minorHAnsi"/>
          <w:color w:val="5F497A" w:themeColor="accent4" w:themeShade="BF"/>
          <w:spacing w:val="40"/>
          <w:sz w:val="28"/>
        </w:rPr>
        <w:t>9</w:t>
      </w:r>
      <w:r>
        <w:rPr>
          <w:rFonts w:asciiTheme="minorHAnsi" w:hAnsiTheme="minorHAnsi"/>
          <w:color w:val="5F497A" w:themeColor="accent4" w:themeShade="BF"/>
          <w:spacing w:val="40"/>
          <w:sz w:val="28"/>
        </w:rPr>
        <w:t>.</w:t>
      </w:r>
    </w:p>
    <w:p w:rsidR="00745698" w:rsidRDefault="00745698" w:rsidP="007A27F0"/>
    <w:p w:rsidR="00A30EE8" w:rsidRDefault="00A30EE8" w:rsidP="00A30EE8">
      <w:pPr>
        <w:jc w:val="both"/>
      </w:pPr>
      <w:r>
        <w:t>Usporedba posljednjeg polugodišta prošle s prvih šest mjeseci ove godine pokazuje da je ukupni promet pao -14,2%. Međutim, promet dionicama unutar knjige ponuda bio je tek -0,8% niži, a tržišna kapitalizacija dionica +3% veća, dok je ukupna bila 6% viša.</w:t>
      </w:r>
    </w:p>
    <w:p w:rsidR="00C87BFD" w:rsidRPr="007A27F0" w:rsidRDefault="00A30EE8" w:rsidP="00A30EE8">
      <w:pPr>
        <w:jc w:val="both"/>
      </w:pPr>
      <w:r>
        <w:t xml:space="preserve">S iznimkom </w:t>
      </w:r>
      <w:proofErr w:type="spellStart"/>
      <w:r>
        <w:t>CROBEXkonstrukta</w:t>
      </w:r>
      <w:proofErr w:type="spellEnd"/>
      <w:r>
        <w:t xml:space="preserve"> i </w:t>
      </w:r>
      <w:proofErr w:type="spellStart"/>
      <w:r>
        <w:t>CROBEXtransporta</w:t>
      </w:r>
      <w:proofErr w:type="spellEnd"/>
      <w:r>
        <w:t xml:space="preserve">, svi su indeksi solidno rasli, a najviše </w:t>
      </w:r>
      <w:proofErr w:type="spellStart"/>
      <w:r>
        <w:t>CROBEXtr</w:t>
      </w:r>
      <w:proofErr w:type="spellEnd"/>
      <w:r>
        <w:t xml:space="preserve"> (+10,7%), što svjedoči o solidnom dividendom prinosu dionica iz njegovog sastava.</w:t>
      </w:r>
    </w:p>
    <w:sectPr w:rsidR="00C87BFD" w:rsidRPr="007A27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9D" w:rsidRDefault="00363A9D" w:rsidP="00363A9D">
      <w:pPr>
        <w:spacing w:after="0" w:line="240" w:lineRule="auto"/>
      </w:pPr>
      <w:r>
        <w:separator/>
      </w:r>
    </w:p>
  </w:endnote>
  <w:end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DF" w:rsidRPr="00854753" w:rsidRDefault="00854753" w:rsidP="00854753">
    <w:pPr>
      <w:pStyle w:val="Footer"/>
      <w:jc w:val="right"/>
      <w:rPr>
        <w:color w:val="5F497A" w:themeColor="accent4" w:themeShade="BF"/>
      </w:rPr>
    </w:pPr>
    <w:r w:rsidRPr="00854753">
      <w:rPr>
        <w:noProof/>
        <w:color w:val="5F497A" w:themeColor="accent4" w:themeShade="BF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DEBE77" wp14:editId="193DB89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18415" b="15240"/>
              <wp:wrapNone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ctangle 40" o:spid="_x0000_s1026" style="position:absolute;margin-left:0;margin-top:0;width:579.9pt;height:750.3pt;z-index:25166028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" filled="f" strokecolor="#bfbfbf [2412]" strokeweight="1.5pt">
              <w10:wrap anchorx="page" anchory="page"/>
            </v:rect>
          </w:pict>
        </mc:Fallback>
      </mc:AlternateConten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begin"/>
    </w:r>
    <w:r w:rsidRPr="00854753">
      <w:rPr>
        <w:color w:val="5F497A" w:themeColor="accent4" w:themeShade="BF"/>
        <w:sz w:val="20"/>
        <w:szCs w:val="20"/>
      </w:rPr>
      <w:instrText xml:space="preserve"> PAGE    \* MERGEFORMAT </w:instrTex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separate"/>
    </w:r>
    <w:r w:rsidR="005738B6" w:rsidRPr="005738B6">
      <w:rPr>
        <w:rFonts w:eastAsiaTheme="majorEastAsia" w:cstheme="majorBidi"/>
        <w:noProof/>
        <w:color w:val="5F497A" w:themeColor="accent4" w:themeShade="BF"/>
        <w:sz w:val="20"/>
        <w:szCs w:val="20"/>
      </w:rPr>
      <w:t>2</w:t>
    </w:r>
    <w:r w:rsidRPr="00854753">
      <w:rPr>
        <w:rFonts w:eastAsiaTheme="majorEastAsia" w:cstheme="majorBidi"/>
        <w:noProof/>
        <w:color w:val="5F497A" w:themeColor="accent4" w:themeShade="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9D" w:rsidRDefault="00363A9D" w:rsidP="00363A9D">
      <w:pPr>
        <w:spacing w:after="0" w:line="240" w:lineRule="auto"/>
      </w:pPr>
      <w:r>
        <w:separator/>
      </w:r>
    </w:p>
  </w:footnote>
  <w:foot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9D" w:rsidRDefault="00363A9D" w:rsidP="00363A9D">
    <w:pPr>
      <w:pStyle w:val="Heading3"/>
      <w:tabs>
        <w:tab w:val="right" w:pos="9072"/>
      </w:tabs>
      <w:rPr>
        <w:rFonts w:asciiTheme="minorHAnsi" w:hAnsiTheme="minorHAnsi"/>
        <w:color w:val="5F497A" w:themeColor="accent4" w:themeShade="BF"/>
        <w:spacing w:val="40"/>
      </w:rPr>
    </w:pPr>
    <w:r w:rsidRPr="00363A9D">
      <w:rPr>
        <w:rFonts w:asciiTheme="minorHAnsi" w:hAnsiTheme="minorHAnsi"/>
        <w:noProof/>
        <w:color w:val="5F497A" w:themeColor="accent4" w:themeShade="BF"/>
        <w:spacing w:val="40"/>
        <w:lang w:eastAsia="hr-HR"/>
      </w:rPr>
      <w:drawing>
        <wp:anchor distT="0" distB="0" distL="114300" distR="114300" simplePos="0" relativeHeight="251658240" behindDoc="1" locked="0" layoutInCell="1" allowOverlap="1" wp14:anchorId="1F6C43AB" wp14:editId="176CBEC1">
          <wp:simplePos x="0" y="0"/>
          <wp:positionH relativeFrom="column">
            <wp:posOffset>5281930</wp:posOffset>
          </wp:positionH>
          <wp:positionV relativeFrom="paragraph">
            <wp:posOffset>-61595</wp:posOffset>
          </wp:positionV>
          <wp:extent cx="1038225" cy="1028700"/>
          <wp:effectExtent l="0" t="0" r="9525" b="0"/>
          <wp:wrapTight wrapText="bothSides">
            <wp:wrapPolygon edited="0">
              <wp:start x="0" y="0"/>
              <wp:lineTo x="0" y="21200"/>
              <wp:lineTo x="21402" y="21200"/>
              <wp:lineTo x="2140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rebacka-burza---logo-vertikaln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000" t="16249" r="13125" b="12501"/>
                  <a:stretch/>
                </pic:blipFill>
                <pic:spPr bwMode="auto"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A9D" w:rsidRDefault="00363A9D" w:rsidP="00363A9D"/>
  <w:p w:rsidR="00363A9D" w:rsidRDefault="00363A9D" w:rsidP="00363A9D">
    <w:pPr>
      <w:pStyle w:val="Header"/>
      <w:jc w:val="right"/>
    </w:pPr>
  </w:p>
  <w:p w:rsidR="00363A9D" w:rsidRDefault="00363A9D">
    <w:pPr>
      <w:pStyle w:val="Header"/>
    </w:pPr>
  </w:p>
  <w:p w:rsidR="007A27F0" w:rsidRDefault="007A27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D0"/>
    <w:rsid w:val="001F6FBA"/>
    <w:rsid w:val="00266E5B"/>
    <w:rsid w:val="002A3B12"/>
    <w:rsid w:val="00363A9D"/>
    <w:rsid w:val="004F0FCA"/>
    <w:rsid w:val="00551574"/>
    <w:rsid w:val="005738B6"/>
    <w:rsid w:val="005B017C"/>
    <w:rsid w:val="00663B62"/>
    <w:rsid w:val="006F4E8F"/>
    <w:rsid w:val="00745698"/>
    <w:rsid w:val="007A27F0"/>
    <w:rsid w:val="00854753"/>
    <w:rsid w:val="008735DF"/>
    <w:rsid w:val="009239D6"/>
    <w:rsid w:val="009B1858"/>
    <w:rsid w:val="009C79AD"/>
    <w:rsid w:val="00A30EE8"/>
    <w:rsid w:val="00A73B9A"/>
    <w:rsid w:val="00A7726A"/>
    <w:rsid w:val="00BB73B1"/>
    <w:rsid w:val="00C87BFD"/>
    <w:rsid w:val="00CE08DB"/>
    <w:rsid w:val="00D42F6D"/>
    <w:rsid w:val="00F309D0"/>
    <w:rsid w:val="00F8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43A8-1902-47C6-9A04-1A3E4300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sanda</dc:creator>
  <cp:lastModifiedBy>Gordana Miskulin</cp:lastModifiedBy>
  <cp:revision>4</cp:revision>
  <dcterms:created xsi:type="dcterms:W3CDTF">2019-07-03T08:47:00Z</dcterms:created>
  <dcterms:modified xsi:type="dcterms:W3CDTF">2019-07-03T08:49:00Z</dcterms:modified>
</cp:coreProperties>
</file>