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A9D" w:rsidRPr="009239D6" w:rsidRDefault="00363A9D" w:rsidP="00363A9D">
      <w:pPr>
        <w:pStyle w:val="Heading3"/>
        <w:tabs>
          <w:tab w:val="right" w:pos="9072"/>
        </w:tabs>
        <w:rPr>
          <w:rFonts w:asciiTheme="minorHAnsi" w:hAnsiTheme="minorHAnsi"/>
          <w:color w:val="5F497A" w:themeColor="accent4" w:themeShade="BF"/>
          <w:spacing w:val="40"/>
          <w:sz w:val="28"/>
        </w:rPr>
      </w:pPr>
      <w:r w:rsidRPr="009239D6">
        <w:rPr>
          <w:rFonts w:asciiTheme="minorHAnsi" w:hAnsiTheme="minorHAnsi"/>
          <w:color w:val="5F497A" w:themeColor="accent4" w:themeShade="BF"/>
          <w:spacing w:val="40"/>
          <w:sz w:val="28"/>
        </w:rPr>
        <w:t>RIJEČ UPRAVE</w:t>
      </w:r>
    </w:p>
    <w:p w:rsidR="00363A9D" w:rsidRPr="00363A9D" w:rsidRDefault="00363A9D" w:rsidP="00363A9D"/>
    <w:p w:rsid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>Godina 2017. na Zagrebačkoj burzi započela je u optimističnom raspoloženju, a CROBEX je u jednom trenutku dosegnuo razine na kojima je bio prije pet godina. Iako su nastavku godine nepovoljne okolnosti usporile uzlazni trend, godinu je ipak obilježilo nekoliko značajnih događanja i zanimljivih projekata.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U rujnu 2016. osnovan je </w:t>
      </w:r>
      <w:r w:rsidRPr="00363A9D">
        <w:rPr>
          <w:b/>
          <w:sz w:val="20"/>
        </w:rPr>
        <w:t xml:space="preserve">Funderbeam </w:t>
      </w:r>
      <w:proofErr w:type="spellStart"/>
      <w:r w:rsidRPr="00363A9D">
        <w:rPr>
          <w:b/>
          <w:sz w:val="20"/>
        </w:rPr>
        <w:t>South</w:t>
      </w:r>
      <w:proofErr w:type="spellEnd"/>
      <w:r w:rsidRPr="00363A9D">
        <w:rPr>
          <w:b/>
          <w:sz w:val="20"/>
        </w:rPr>
        <w:t>-East Europe</w:t>
      </w:r>
      <w:r w:rsidRPr="00363A9D">
        <w:rPr>
          <w:sz w:val="20"/>
        </w:rPr>
        <w:t xml:space="preserve"> (skraćeno: Funderbeam </w:t>
      </w:r>
      <w:proofErr w:type="spellStart"/>
      <w:r w:rsidRPr="00363A9D">
        <w:rPr>
          <w:sz w:val="20"/>
        </w:rPr>
        <w:t>SEE</w:t>
      </w:r>
      <w:proofErr w:type="spellEnd"/>
      <w:r w:rsidRPr="00363A9D">
        <w:rPr>
          <w:sz w:val="20"/>
        </w:rPr>
        <w:t>), društvo sa sjedištem u Zagrebu, u kojem Zagrebačka burza ima 20%-</w:t>
      </w:r>
      <w:proofErr w:type="spellStart"/>
      <w:r w:rsidRPr="00363A9D">
        <w:rPr>
          <w:sz w:val="20"/>
        </w:rPr>
        <w:t>tni</w:t>
      </w:r>
      <w:proofErr w:type="spellEnd"/>
      <w:r w:rsidRPr="00363A9D">
        <w:rPr>
          <w:sz w:val="20"/>
        </w:rPr>
        <w:t xml:space="preserve"> udio, a poduprto je od strane Europske banke za obnovu i razvoj kroz njihov </w:t>
      </w:r>
      <w:proofErr w:type="spellStart"/>
      <w:r w:rsidRPr="00363A9D">
        <w:rPr>
          <w:sz w:val="20"/>
        </w:rPr>
        <w:t>Shareholders</w:t>
      </w:r>
      <w:proofErr w:type="spellEnd"/>
      <w:r w:rsidRPr="00363A9D">
        <w:rPr>
          <w:sz w:val="20"/>
        </w:rPr>
        <w:t xml:space="preserve"> </w:t>
      </w:r>
      <w:proofErr w:type="spellStart"/>
      <w:r w:rsidRPr="00363A9D">
        <w:rPr>
          <w:sz w:val="20"/>
        </w:rPr>
        <w:t>Special</w:t>
      </w:r>
      <w:proofErr w:type="spellEnd"/>
      <w:r w:rsidRPr="00363A9D">
        <w:rPr>
          <w:sz w:val="20"/>
        </w:rPr>
        <w:t xml:space="preserve"> </w:t>
      </w:r>
      <w:proofErr w:type="spellStart"/>
      <w:r w:rsidRPr="00363A9D">
        <w:rPr>
          <w:sz w:val="20"/>
        </w:rPr>
        <w:t>Fund</w:t>
      </w:r>
      <w:proofErr w:type="spellEnd"/>
      <w:r w:rsidRPr="00363A9D">
        <w:rPr>
          <w:sz w:val="20"/>
        </w:rPr>
        <w:t xml:space="preserve">. Funderbeam je globalna platforma na kojoj startup kompanije mogu prikupljati sredstva, a ulagatelji nakon inicijalne faze ulaganja trgovati svojim udjelima zahvaljujući inovativnom sustavu temeljenom na blockchain tehnologiji. U samo deset mjeseci 2017. putem Funderbeam </w:t>
      </w:r>
      <w:proofErr w:type="spellStart"/>
      <w:r w:rsidRPr="00363A9D">
        <w:rPr>
          <w:sz w:val="20"/>
        </w:rPr>
        <w:t>SEE</w:t>
      </w:r>
      <w:proofErr w:type="spellEnd"/>
      <w:r w:rsidRPr="00363A9D">
        <w:rPr>
          <w:sz w:val="20"/>
        </w:rPr>
        <w:t xml:space="preserve">-a kroz četiri je kampanje za hrvatske startup i </w:t>
      </w:r>
      <w:proofErr w:type="spellStart"/>
      <w:r w:rsidRPr="00363A9D">
        <w:rPr>
          <w:sz w:val="20"/>
        </w:rPr>
        <w:t>SME</w:t>
      </w:r>
      <w:proofErr w:type="spellEnd"/>
      <w:r w:rsidRPr="00363A9D">
        <w:rPr>
          <w:sz w:val="20"/>
        </w:rPr>
        <w:t xml:space="preserve"> kompanije prikupljeno </w:t>
      </w:r>
      <w:bookmarkStart w:id="0" w:name="_GoBack"/>
      <w:bookmarkEnd w:id="0"/>
      <w:r w:rsidRPr="00363A9D">
        <w:rPr>
          <w:sz w:val="20"/>
        </w:rPr>
        <w:t xml:space="preserve">više od 2 milijuna EUR kapitala, a uspješno se i trguje udjelima putem Funderbeam platforme. 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Sredinom veljače Zagrebačka burza potpisala je memorandum o razumijevanju s Burzom iz </w:t>
      </w:r>
      <w:proofErr w:type="spellStart"/>
      <w:r w:rsidRPr="00363A9D">
        <w:rPr>
          <w:sz w:val="20"/>
        </w:rPr>
        <w:t>Taipeija</w:t>
      </w:r>
      <w:proofErr w:type="spellEnd"/>
      <w:r w:rsidRPr="00363A9D">
        <w:rPr>
          <w:sz w:val="20"/>
        </w:rPr>
        <w:t xml:space="preserve"> (Taipei Exchange - </w:t>
      </w:r>
      <w:proofErr w:type="spellStart"/>
      <w:r w:rsidRPr="00363A9D">
        <w:rPr>
          <w:sz w:val="20"/>
        </w:rPr>
        <w:t>TPEx</w:t>
      </w:r>
      <w:proofErr w:type="spellEnd"/>
      <w:r w:rsidRPr="00363A9D">
        <w:rPr>
          <w:sz w:val="20"/>
        </w:rPr>
        <w:t xml:space="preserve">). U međusobnoj komunikaciji osobito je istaknuta važnost suradnje prilikom procesa razvoja tržišta za mala i srednja poduzeća. Taipei Exchange utemeljena je 1994. i osobito je usmjerena na kompanije u razvoju, visokotehnološke kompanije, mala i srednja poduzeća te </w:t>
      </w:r>
      <w:proofErr w:type="spellStart"/>
      <w:r w:rsidRPr="00363A9D">
        <w:rPr>
          <w:sz w:val="20"/>
        </w:rPr>
        <w:t>startupove</w:t>
      </w:r>
      <w:proofErr w:type="spellEnd"/>
      <w:r w:rsidRPr="00363A9D">
        <w:rPr>
          <w:sz w:val="20"/>
        </w:rPr>
        <w:t xml:space="preserve">, a do sada je putem </w:t>
      </w:r>
      <w:proofErr w:type="spellStart"/>
      <w:r w:rsidRPr="00363A9D">
        <w:rPr>
          <w:sz w:val="20"/>
        </w:rPr>
        <w:t>TPEx</w:t>
      </w:r>
      <w:proofErr w:type="spellEnd"/>
      <w:r w:rsidRPr="00363A9D">
        <w:rPr>
          <w:sz w:val="20"/>
        </w:rPr>
        <w:t xml:space="preserve">-a kapital za rast i razvoj uspješno prikupilo više od 2.000 malih i srednjih poduzeća. Potpisivanje memoranduma o suradnji bilo je dio programa posjeta zajedničke delegacije Zagrebačke burze, Ljubljanske burze te Europske banke za obnovu i razvoj Tajvanu s ciljem stjecanja iskustva i razmjene ideja vezanih uz razvoj regionalnih tržišta kapitala u sklopu projekta </w:t>
      </w:r>
      <w:r w:rsidRPr="00363A9D">
        <w:rPr>
          <w:b/>
          <w:sz w:val="20"/>
        </w:rPr>
        <w:t>„</w:t>
      </w:r>
      <w:proofErr w:type="spellStart"/>
      <w:r w:rsidRPr="00363A9D">
        <w:rPr>
          <w:b/>
          <w:sz w:val="20"/>
        </w:rPr>
        <w:t>SME</w:t>
      </w:r>
      <w:proofErr w:type="spellEnd"/>
      <w:r w:rsidRPr="00363A9D">
        <w:rPr>
          <w:b/>
          <w:sz w:val="20"/>
        </w:rPr>
        <w:t xml:space="preserve"> </w:t>
      </w:r>
      <w:proofErr w:type="spellStart"/>
      <w:r w:rsidRPr="00363A9D">
        <w:rPr>
          <w:b/>
          <w:sz w:val="20"/>
        </w:rPr>
        <w:t>Growth</w:t>
      </w:r>
      <w:proofErr w:type="spellEnd"/>
      <w:r w:rsidRPr="00363A9D">
        <w:rPr>
          <w:b/>
          <w:sz w:val="20"/>
        </w:rPr>
        <w:t xml:space="preserve"> </w:t>
      </w:r>
      <w:proofErr w:type="spellStart"/>
      <w:r w:rsidRPr="00363A9D">
        <w:rPr>
          <w:b/>
          <w:sz w:val="20"/>
        </w:rPr>
        <w:t>Market</w:t>
      </w:r>
      <w:proofErr w:type="spellEnd"/>
      <w:r w:rsidRPr="00363A9D">
        <w:rPr>
          <w:b/>
          <w:sz w:val="20"/>
        </w:rPr>
        <w:t>“</w:t>
      </w:r>
      <w:r w:rsidRPr="00363A9D">
        <w:rPr>
          <w:sz w:val="20"/>
        </w:rPr>
        <w:t>. Riječ je o zajedničkom projektu Zagrebačke burze i Europske banke za obnovu i razvoj, koja je putem svojih donatora (</w:t>
      </w:r>
      <w:proofErr w:type="spellStart"/>
      <w:r w:rsidRPr="00363A9D">
        <w:rPr>
          <w:sz w:val="20"/>
        </w:rPr>
        <w:t>TaiwanBusiness</w:t>
      </w:r>
      <w:proofErr w:type="spellEnd"/>
      <w:r w:rsidRPr="00363A9D">
        <w:rPr>
          <w:sz w:val="20"/>
        </w:rPr>
        <w:t xml:space="preserve"> – EBRD </w:t>
      </w:r>
      <w:proofErr w:type="spellStart"/>
      <w:r w:rsidRPr="00363A9D">
        <w:rPr>
          <w:sz w:val="20"/>
        </w:rPr>
        <w:t>Technical</w:t>
      </w:r>
      <w:proofErr w:type="spellEnd"/>
      <w:r w:rsidRPr="00363A9D">
        <w:rPr>
          <w:sz w:val="20"/>
        </w:rPr>
        <w:t xml:space="preserve"> </w:t>
      </w:r>
      <w:proofErr w:type="spellStart"/>
      <w:r w:rsidRPr="00363A9D">
        <w:rPr>
          <w:sz w:val="20"/>
        </w:rPr>
        <w:t>Cooperation</w:t>
      </w:r>
      <w:proofErr w:type="spellEnd"/>
      <w:r w:rsidRPr="00363A9D">
        <w:rPr>
          <w:sz w:val="20"/>
        </w:rPr>
        <w:t xml:space="preserve"> </w:t>
      </w:r>
      <w:proofErr w:type="spellStart"/>
      <w:r w:rsidRPr="00363A9D">
        <w:rPr>
          <w:sz w:val="20"/>
        </w:rPr>
        <w:t>Fund</w:t>
      </w:r>
      <w:proofErr w:type="spellEnd"/>
      <w:r w:rsidRPr="00363A9D">
        <w:rPr>
          <w:sz w:val="20"/>
        </w:rPr>
        <w:t xml:space="preserve"> – </w:t>
      </w:r>
      <w:proofErr w:type="spellStart"/>
      <w:r w:rsidRPr="00363A9D">
        <w:rPr>
          <w:sz w:val="20"/>
        </w:rPr>
        <w:t>TWTC</w:t>
      </w:r>
      <w:proofErr w:type="spellEnd"/>
      <w:r w:rsidRPr="00363A9D">
        <w:rPr>
          <w:sz w:val="20"/>
        </w:rPr>
        <w:t xml:space="preserve">) financirala izradu studije o uspostavljanju </w:t>
      </w:r>
      <w:proofErr w:type="spellStart"/>
      <w:r w:rsidRPr="00363A9D">
        <w:rPr>
          <w:sz w:val="20"/>
        </w:rPr>
        <w:t>SME</w:t>
      </w:r>
      <w:proofErr w:type="spellEnd"/>
      <w:r w:rsidRPr="00363A9D">
        <w:rPr>
          <w:sz w:val="20"/>
        </w:rPr>
        <w:t xml:space="preserve"> tržišta u regiji, kojim bi bio olakšan pristup kapitalu za mala i srednja poduzeća.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Vezano uz navedeni projekt, na kraju lipnja Zagrebačka burza održala je </w:t>
      </w:r>
      <w:proofErr w:type="spellStart"/>
      <w:r w:rsidRPr="00363A9D">
        <w:rPr>
          <w:b/>
          <w:sz w:val="20"/>
        </w:rPr>
        <w:t>SME</w:t>
      </w:r>
      <w:proofErr w:type="spellEnd"/>
      <w:r w:rsidRPr="00363A9D">
        <w:rPr>
          <w:b/>
          <w:sz w:val="20"/>
        </w:rPr>
        <w:t xml:space="preserve"> </w:t>
      </w:r>
      <w:proofErr w:type="spellStart"/>
      <w:r w:rsidRPr="00363A9D">
        <w:rPr>
          <w:b/>
          <w:sz w:val="20"/>
        </w:rPr>
        <w:t>Growth</w:t>
      </w:r>
      <w:proofErr w:type="spellEnd"/>
      <w:r w:rsidRPr="00363A9D">
        <w:rPr>
          <w:b/>
          <w:sz w:val="20"/>
        </w:rPr>
        <w:t xml:space="preserve"> </w:t>
      </w:r>
      <w:proofErr w:type="spellStart"/>
      <w:r w:rsidRPr="00363A9D">
        <w:rPr>
          <w:b/>
          <w:sz w:val="20"/>
        </w:rPr>
        <w:t>Market</w:t>
      </w:r>
      <w:proofErr w:type="spellEnd"/>
      <w:r w:rsidRPr="00363A9D">
        <w:rPr>
          <w:b/>
          <w:sz w:val="20"/>
        </w:rPr>
        <w:t xml:space="preserve"> konferenciju</w:t>
      </w:r>
      <w:r w:rsidRPr="00363A9D">
        <w:rPr>
          <w:sz w:val="20"/>
        </w:rPr>
        <w:t>, gdje je predstavila rezultate navedene studije te najavila Progress - novu trgovinsku platformu za mala i srednja poduzeća, putem koje će ona ‒ umjesto dužničkog financiranja ‒ svoj rast moći financirati dioničkim kapitalom. Projekt je podržala i gđa Martina Dalić, potpredsjednica Vlade Republike Hrvatske i ministrica gospodarstva, poduzetništva i obrta, te gđa Vedrana Jelušić Kašić, direktorica Europske banke za obnovu i razvoj za Hrvatsku, Sloveniju, Slovačku i Mađarsku.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U drugoj polovici godine započele su intenzivne pripreme vezane uz </w:t>
      </w:r>
      <w:r w:rsidRPr="00363A9D">
        <w:rPr>
          <w:b/>
          <w:sz w:val="20"/>
        </w:rPr>
        <w:t>Progress</w:t>
      </w:r>
      <w:r w:rsidRPr="00363A9D">
        <w:rPr>
          <w:sz w:val="20"/>
        </w:rPr>
        <w:t xml:space="preserve"> </w:t>
      </w:r>
      <w:r w:rsidRPr="00363A9D">
        <w:rPr>
          <w:b/>
          <w:sz w:val="20"/>
        </w:rPr>
        <w:t>platformu</w:t>
      </w:r>
      <w:r w:rsidRPr="00363A9D">
        <w:rPr>
          <w:sz w:val="20"/>
        </w:rPr>
        <w:t>: kreirana je  internetska stranica, uspostavljen pravni okvir donošenjem pravila Progress tržišta te drugih akata o dokumenata, a objavljen je i natječaj za stjecanje statusa savjetnika na Progress tržištu. U samo mjesec dana od objave natječaja pristigao je velik broj prijava za stjecanje statusa savjetnika na Progress tržištu, što svjedoči da u Hrvatskoj postoji interes za razvoj novih proizvoda na tržištu kapitala, a usporedno sa time i formiranje nove grane u području poslovnog i financijskog savjetovanja. U konačnici je ukupno 9 društava ispunilo je uvjete za obnašanje statusa savjetnika budućim izdavateljima, a početak rada platforme očekuje se u prvom kvartalu 2018. godine.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Projekti Funderbeam i Progress dio su </w:t>
      </w:r>
      <w:r w:rsidRPr="00663B62">
        <w:rPr>
          <w:b/>
          <w:sz w:val="20"/>
        </w:rPr>
        <w:t>razvojno orijentirane strategije Zagrebačke burze</w:t>
      </w:r>
      <w:r w:rsidRPr="00363A9D">
        <w:rPr>
          <w:sz w:val="20"/>
        </w:rPr>
        <w:t xml:space="preserve"> kojoj je cilj na tržištu Hrvatske i Slovenije stvoriti uvjete koji kompanijama u svim fazama rasta mogu osigurati kapital potreban za rast te na taj način doprinijeti stvaranju pozitivnog okruženja za poduzetnike, gospodarski rast i zaposlenost.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U travnju je u Beogradu održana druga </w:t>
      </w:r>
      <w:proofErr w:type="spellStart"/>
      <w:r w:rsidRPr="00363A9D">
        <w:rPr>
          <w:b/>
          <w:sz w:val="20"/>
        </w:rPr>
        <w:t>SEE</w:t>
      </w:r>
      <w:proofErr w:type="spellEnd"/>
      <w:r w:rsidRPr="00363A9D">
        <w:rPr>
          <w:b/>
          <w:sz w:val="20"/>
        </w:rPr>
        <w:t xml:space="preserve"> Link </w:t>
      </w:r>
      <w:proofErr w:type="spellStart"/>
      <w:r w:rsidRPr="00363A9D">
        <w:rPr>
          <w:b/>
          <w:sz w:val="20"/>
        </w:rPr>
        <w:t>international</w:t>
      </w:r>
      <w:proofErr w:type="spellEnd"/>
      <w:r w:rsidRPr="00363A9D">
        <w:rPr>
          <w:b/>
          <w:sz w:val="20"/>
        </w:rPr>
        <w:t xml:space="preserve"> </w:t>
      </w:r>
      <w:proofErr w:type="spellStart"/>
      <w:r w:rsidRPr="00363A9D">
        <w:rPr>
          <w:b/>
          <w:sz w:val="20"/>
        </w:rPr>
        <w:t>conference</w:t>
      </w:r>
      <w:proofErr w:type="spellEnd"/>
      <w:r w:rsidRPr="00363A9D">
        <w:rPr>
          <w:sz w:val="20"/>
        </w:rPr>
        <w:t xml:space="preserve">, u </w:t>
      </w:r>
      <w:proofErr w:type="spellStart"/>
      <w:r w:rsidRPr="00363A9D">
        <w:rPr>
          <w:sz w:val="20"/>
        </w:rPr>
        <w:t>suorganizatorstvu</w:t>
      </w:r>
      <w:proofErr w:type="spellEnd"/>
      <w:r w:rsidRPr="00363A9D">
        <w:rPr>
          <w:sz w:val="20"/>
        </w:rPr>
        <w:t xml:space="preserve"> Zagrebačke burze te burzi iz Makedonije i Bugarske, s kojima je Zagrebačka burza suosnivač društva </w:t>
      </w:r>
      <w:proofErr w:type="spellStart"/>
      <w:r w:rsidRPr="00363A9D">
        <w:rPr>
          <w:sz w:val="20"/>
        </w:rPr>
        <w:t>SEE</w:t>
      </w:r>
      <w:proofErr w:type="spellEnd"/>
      <w:r w:rsidRPr="00363A9D">
        <w:rPr>
          <w:sz w:val="20"/>
        </w:rPr>
        <w:t xml:space="preserve"> Link d.o.o. sa sjedištem u Skopju. Konferenciji je </w:t>
      </w:r>
      <w:proofErr w:type="spellStart"/>
      <w:r w:rsidRPr="00363A9D">
        <w:rPr>
          <w:sz w:val="20"/>
        </w:rPr>
        <w:t>nazočilo</w:t>
      </w:r>
      <w:proofErr w:type="spellEnd"/>
      <w:r w:rsidRPr="00363A9D">
        <w:rPr>
          <w:sz w:val="20"/>
        </w:rPr>
        <w:t xml:space="preserve"> više od 70 sudionika iz Bosne i Hercegovine, Bugarske, Crne Gore, Hrvatske, Makedonije, Slovenije i Srbije. </w:t>
      </w:r>
      <w:proofErr w:type="spellStart"/>
      <w:r w:rsidRPr="00363A9D">
        <w:rPr>
          <w:b/>
          <w:sz w:val="20"/>
        </w:rPr>
        <w:t>SEE</w:t>
      </w:r>
      <w:proofErr w:type="spellEnd"/>
      <w:r w:rsidRPr="00363A9D">
        <w:rPr>
          <w:sz w:val="20"/>
        </w:rPr>
        <w:t xml:space="preserve"> </w:t>
      </w:r>
      <w:r w:rsidRPr="00363A9D">
        <w:rPr>
          <w:b/>
          <w:sz w:val="20"/>
        </w:rPr>
        <w:t>Link</w:t>
      </w:r>
      <w:r w:rsidRPr="00363A9D">
        <w:rPr>
          <w:sz w:val="20"/>
        </w:rPr>
        <w:t xml:space="preserve"> sustav za </w:t>
      </w:r>
      <w:proofErr w:type="spellStart"/>
      <w:r w:rsidRPr="00363A9D">
        <w:rPr>
          <w:sz w:val="20"/>
        </w:rPr>
        <w:t>međuburzovnu</w:t>
      </w:r>
      <w:proofErr w:type="spellEnd"/>
      <w:r w:rsidRPr="00363A9D">
        <w:rPr>
          <w:sz w:val="20"/>
        </w:rPr>
        <w:t xml:space="preserve"> razmjenu naloga trenutačno </w:t>
      </w:r>
      <w:r w:rsidRPr="00363A9D">
        <w:rPr>
          <w:sz w:val="20"/>
        </w:rPr>
        <w:lastRenderedPageBreak/>
        <w:t xml:space="preserve">podržava trgovanje na sedam regionalnih burzi, s ukupnom tržišnom kapitalizacijom većom od 38,5 milijarde USD i više od 500 vrijednosnica dostupnih za trgovanje. 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Zagrebačka burza u šest mjesečnih izvještaja ocijenjena kao jedan od pet najboljih izdavatelja </w:t>
      </w:r>
      <w:proofErr w:type="spellStart"/>
      <w:r w:rsidRPr="00363A9D">
        <w:rPr>
          <w:sz w:val="20"/>
        </w:rPr>
        <w:t>LEI</w:t>
      </w:r>
      <w:proofErr w:type="spellEnd"/>
      <w:r w:rsidRPr="00363A9D">
        <w:rPr>
          <w:sz w:val="20"/>
        </w:rPr>
        <w:t xml:space="preserve"> oznaka na svijetu, prema izvještaju o kvalitetu koje objavljuje Global Legal </w:t>
      </w:r>
      <w:proofErr w:type="spellStart"/>
      <w:r w:rsidRPr="00363A9D">
        <w:rPr>
          <w:sz w:val="20"/>
        </w:rPr>
        <w:t>Entity</w:t>
      </w:r>
      <w:proofErr w:type="spellEnd"/>
      <w:r w:rsidRPr="00363A9D">
        <w:rPr>
          <w:sz w:val="20"/>
        </w:rPr>
        <w:t xml:space="preserve"> </w:t>
      </w:r>
      <w:proofErr w:type="spellStart"/>
      <w:r w:rsidRPr="00363A9D">
        <w:rPr>
          <w:sz w:val="20"/>
        </w:rPr>
        <w:t>Identifier</w:t>
      </w:r>
      <w:proofErr w:type="spellEnd"/>
      <w:r w:rsidRPr="00363A9D">
        <w:rPr>
          <w:sz w:val="20"/>
        </w:rPr>
        <w:t xml:space="preserve"> </w:t>
      </w:r>
      <w:proofErr w:type="spellStart"/>
      <w:r w:rsidRPr="00363A9D">
        <w:rPr>
          <w:sz w:val="20"/>
        </w:rPr>
        <w:t>Foundation</w:t>
      </w:r>
      <w:proofErr w:type="spellEnd"/>
      <w:r w:rsidRPr="00363A9D">
        <w:rPr>
          <w:sz w:val="20"/>
        </w:rPr>
        <w:t xml:space="preserve"> (</w:t>
      </w:r>
      <w:proofErr w:type="spellStart"/>
      <w:r w:rsidRPr="00363A9D">
        <w:rPr>
          <w:sz w:val="20"/>
        </w:rPr>
        <w:t>GLEIF</w:t>
      </w:r>
      <w:proofErr w:type="spellEnd"/>
      <w:r w:rsidRPr="00363A9D">
        <w:rPr>
          <w:sz w:val="20"/>
        </w:rPr>
        <w:t xml:space="preserve">). Zagrebačka burza ovlaštena je za dodjeljivanje i administriranje </w:t>
      </w:r>
      <w:proofErr w:type="spellStart"/>
      <w:r w:rsidRPr="00363A9D">
        <w:rPr>
          <w:sz w:val="20"/>
        </w:rPr>
        <w:t>LEI</w:t>
      </w:r>
      <w:proofErr w:type="spellEnd"/>
      <w:r w:rsidRPr="00363A9D">
        <w:rPr>
          <w:sz w:val="20"/>
        </w:rPr>
        <w:t xml:space="preserve"> oznaka od travnja 2015., a krajem 2017. nakon dugotrajnog i opsežnog procesa, akreditirana je za </w:t>
      </w:r>
      <w:r w:rsidRPr="00363A9D">
        <w:rPr>
          <w:b/>
          <w:sz w:val="20"/>
        </w:rPr>
        <w:t xml:space="preserve">lokalnog operatera </w:t>
      </w:r>
      <w:proofErr w:type="spellStart"/>
      <w:r w:rsidRPr="00363A9D">
        <w:rPr>
          <w:b/>
          <w:sz w:val="20"/>
        </w:rPr>
        <w:t>LEI</w:t>
      </w:r>
      <w:proofErr w:type="spellEnd"/>
      <w:r w:rsidRPr="00363A9D">
        <w:rPr>
          <w:b/>
          <w:sz w:val="20"/>
        </w:rPr>
        <w:t xml:space="preserve"> oznaka</w:t>
      </w:r>
      <w:r w:rsidRPr="00363A9D">
        <w:rPr>
          <w:sz w:val="20"/>
        </w:rPr>
        <w:t xml:space="preserve"> (</w:t>
      </w:r>
      <w:proofErr w:type="spellStart"/>
      <w:r w:rsidRPr="00363A9D">
        <w:rPr>
          <w:sz w:val="20"/>
        </w:rPr>
        <w:t>Local</w:t>
      </w:r>
      <w:proofErr w:type="spellEnd"/>
      <w:r w:rsidRPr="00363A9D">
        <w:rPr>
          <w:sz w:val="20"/>
        </w:rPr>
        <w:t xml:space="preserve"> </w:t>
      </w:r>
      <w:proofErr w:type="spellStart"/>
      <w:r w:rsidRPr="00363A9D">
        <w:rPr>
          <w:sz w:val="20"/>
        </w:rPr>
        <w:t>Operating</w:t>
      </w:r>
      <w:proofErr w:type="spellEnd"/>
      <w:r w:rsidRPr="00363A9D">
        <w:rPr>
          <w:sz w:val="20"/>
        </w:rPr>
        <w:t xml:space="preserve"> </w:t>
      </w:r>
      <w:proofErr w:type="spellStart"/>
      <w:r w:rsidRPr="00363A9D">
        <w:rPr>
          <w:sz w:val="20"/>
        </w:rPr>
        <w:t>Unit</w:t>
      </w:r>
      <w:proofErr w:type="spellEnd"/>
      <w:r w:rsidRPr="00363A9D">
        <w:rPr>
          <w:sz w:val="20"/>
        </w:rPr>
        <w:t xml:space="preserve">, </w:t>
      </w:r>
      <w:proofErr w:type="spellStart"/>
      <w:r w:rsidRPr="00363A9D">
        <w:rPr>
          <w:sz w:val="20"/>
        </w:rPr>
        <w:t>LOU</w:t>
      </w:r>
      <w:proofErr w:type="spellEnd"/>
      <w:r w:rsidRPr="00363A9D">
        <w:rPr>
          <w:sz w:val="20"/>
        </w:rPr>
        <w:t xml:space="preserve">) od strane </w:t>
      </w:r>
      <w:proofErr w:type="spellStart"/>
      <w:r w:rsidRPr="00363A9D">
        <w:rPr>
          <w:sz w:val="20"/>
        </w:rPr>
        <w:t>GLEIF</w:t>
      </w:r>
      <w:proofErr w:type="spellEnd"/>
      <w:r w:rsidRPr="00363A9D">
        <w:rPr>
          <w:sz w:val="20"/>
        </w:rPr>
        <w:t>-a , čime je postala 17. organizacija u svijetu kojoj je dodijeljen ovaj status.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b/>
          <w:sz w:val="20"/>
        </w:rPr>
        <w:t>Akademija Zagrebačke burze</w:t>
      </w:r>
      <w:r w:rsidRPr="00363A9D">
        <w:rPr>
          <w:sz w:val="20"/>
        </w:rPr>
        <w:t xml:space="preserve"> u 2017. obilježila je sedmu godišnjicu rada. Akademija je utemeljena 2010. godine uz podršku Europske banke za obnovu i razvoj i danas je najveći pružatelj usluga edukacije o financijskim tržištima u Hrvatskoj. U sklopu Akademije do sada je razvijeno oko 60 edukativnih programa, od čega nekoliko kompleksnijih u smislu trajanja i sveobuhvatnosti, kao što su programi za odnose s investitorima, koje je do sad završilo šest generacija stručnjaka, ili program za poslove usklađenosti, koji je u prosincu 2017. završila prva generacija polaznika. Do sada je kroz razne Akademijine programe prošlo više od 6.600 sudionika, od čega su za njih gotovo 70% osigurane besplatne edukacije. Izuzetan naglasak Akademije stavlja na edukaciju mladih, osobito srednjoškolaca i studenata, a samo 2016. i 2017. educirano je njih gotovo 2.500. 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U Zagrebu su krajem svibnja održani </w:t>
      </w:r>
      <w:r w:rsidRPr="00363A9D">
        <w:rPr>
          <w:b/>
          <w:sz w:val="20"/>
        </w:rPr>
        <w:t>4. Investicijski dani Ljubljanske i Zagrebačke burze</w:t>
      </w:r>
      <w:r w:rsidRPr="00363A9D">
        <w:rPr>
          <w:sz w:val="20"/>
        </w:rPr>
        <w:t>, najuspješniji do sad i po broju prijavljenih investitora, i po broju zatraženih i održanih sastanaka. Zbog velikog interesa ovo je događanje prvi put organizirano u trajanju od dva dana, a sudjelovalo je osam slovenskih i sedam hrvatskih kompanija, 30 investicijskih društava i banaka te 56 analitičara i investitora iz Austrije, Mađarske, Češke, Estonije, Kine, Hrvatske i Slovenije. Zaprimljeno je 255 zahtjeva za sastanke, a tvrtke su održale čak 198 individualnih i skupnih sastanaka. Zagrebačka i Ljubljanska burza i ubuduće će nastaviti s individualnim i zajedničkim aktivnostima kako bi povećale interes te ojačale povjerenje domaćih i stranih ulagatelja.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Početkom lipnja Zagrebačka burza u suradnji s Hrvatskom agencijom za nadzor financijskih usluga te Središnjim klirinškim depozitarnim društvom održala je </w:t>
      </w:r>
      <w:r w:rsidRPr="00363A9D">
        <w:rPr>
          <w:b/>
          <w:sz w:val="20"/>
        </w:rPr>
        <w:t>8. godišnju edukaciju za izdavatelje</w:t>
      </w:r>
      <w:r w:rsidRPr="00363A9D">
        <w:rPr>
          <w:sz w:val="20"/>
        </w:rPr>
        <w:t xml:space="preserve"> s Uređenog tržišta, koja je i ove godine okupila stotinjak predstavnika uvrštenih društava. 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U srpnju je Zagrebačka burza nakon deset godina uspješno promijenila trgovinsku platformu prešavši na </w:t>
      </w:r>
      <w:r w:rsidRPr="00363A9D">
        <w:rPr>
          <w:b/>
          <w:sz w:val="20"/>
        </w:rPr>
        <w:t>novi trgovinski sustav</w:t>
      </w:r>
      <w:r w:rsidRPr="00363A9D">
        <w:rPr>
          <w:sz w:val="20"/>
        </w:rPr>
        <w:t xml:space="preserve"> </w:t>
      </w:r>
      <w:proofErr w:type="spellStart"/>
      <w:r w:rsidRPr="00363A9D">
        <w:rPr>
          <w:sz w:val="20"/>
        </w:rPr>
        <w:t>Xetra</w:t>
      </w:r>
      <w:proofErr w:type="spellEnd"/>
      <w:r w:rsidRPr="00363A9D">
        <w:rPr>
          <w:sz w:val="20"/>
        </w:rPr>
        <w:t xml:space="preserve"> Deutsche </w:t>
      </w:r>
      <w:proofErr w:type="spellStart"/>
      <w:r w:rsidRPr="00363A9D">
        <w:rPr>
          <w:sz w:val="20"/>
        </w:rPr>
        <w:t>Börse</w:t>
      </w:r>
      <w:proofErr w:type="spellEnd"/>
      <w:r w:rsidRPr="00363A9D">
        <w:rPr>
          <w:sz w:val="20"/>
        </w:rPr>
        <w:t xml:space="preserve">, za koji je Bečka burza distributer i operater za ovaj dio Europe. Promjenom trgovinskog sustava postignuto je nekoliko strateški vrlo bitnih ciljeva: sada oba tržišta kojima upravlja Zagrebačka burza (hrvatsko i slovensko) imaju istu platformu baš kao i brojna druga tržišta u europskom okruženju, stvorene su pretpostavke za uštede u ovom području, a vrlo je bitno i da je </w:t>
      </w:r>
      <w:proofErr w:type="spellStart"/>
      <w:r w:rsidRPr="00363A9D">
        <w:rPr>
          <w:sz w:val="20"/>
        </w:rPr>
        <w:t>Xetra</w:t>
      </w:r>
      <w:proofErr w:type="spellEnd"/>
      <w:r w:rsidRPr="00363A9D">
        <w:rPr>
          <w:sz w:val="20"/>
        </w:rPr>
        <w:t xml:space="preserve"> platforma </w:t>
      </w:r>
      <w:proofErr w:type="spellStart"/>
      <w:r w:rsidRPr="00363A9D">
        <w:rPr>
          <w:sz w:val="20"/>
        </w:rPr>
        <w:t>automatizomom</w:t>
      </w:r>
      <w:proofErr w:type="spellEnd"/>
      <w:r w:rsidRPr="00363A9D">
        <w:rPr>
          <w:sz w:val="20"/>
        </w:rPr>
        <w:t xml:space="preserve"> usklađena s novom europskom regulativom, što u  značajnoj mjeri smanjuje regulatorni rizik Zagrebačke burze.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U listopadu je održana </w:t>
      </w:r>
      <w:r w:rsidRPr="00363A9D">
        <w:rPr>
          <w:b/>
          <w:sz w:val="20"/>
        </w:rPr>
        <w:t>konferencija „Izazov promjene: Novi izazovi“</w:t>
      </w:r>
      <w:r w:rsidRPr="00363A9D">
        <w:rPr>
          <w:sz w:val="20"/>
        </w:rPr>
        <w:t xml:space="preserve">, šesta zajednička konferencija Zagrebačke burze i Udruge društava za upravljanje mirovinskim fondovima i mirovinskih osiguravajućih društava, najuspješnija do sad, koja je okupila više od 450 sudionika iz svih grana financijske industrije, iz Hrvatske, regije i svijeta. 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Zagrebačka burza </w:t>
      </w:r>
      <w:proofErr w:type="spellStart"/>
      <w:r w:rsidRPr="00363A9D">
        <w:rPr>
          <w:sz w:val="20"/>
        </w:rPr>
        <w:t>recertificirana</w:t>
      </w:r>
      <w:proofErr w:type="spellEnd"/>
      <w:r w:rsidRPr="00363A9D">
        <w:rPr>
          <w:sz w:val="20"/>
        </w:rPr>
        <w:t xml:space="preserve"> je za </w:t>
      </w:r>
      <w:r w:rsidRPr="00363A9D">
        <w:rPr>
          <w:b/>
          <w:sz w:val="20"/>
        </w:rPr>
        <w:t>ISO 9001:2008</w:t>
      </w:r>
      <w:r w:rsidRPr="00363A9D">
        <w:rPr>
          <w:sz w:val="20"/>
        </w:rPr>
        <w:t xml:space="preserve"> normu upravljanja kvalitetom, čiji je nositelj od 2011., a time je potvrdila da upravljanje kvalitetom predstavlja središte njenog strateškog interesa uz spremnost na kontinuirano poboljšanje i unaprjeđenje kvalitete poslovnih procesa.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U prosincu su šestu godinu zaredom dodijeljene </w:t>
      </w:r>
      <w:r w:rsidRPr="00363A9D">
        <w:rPr>
          <w:b/>
          <w:sz w:val="20"/>
        </w:rPr>
        <w:t>Nagrade Zagrebačke burze</w:t>
      </w:r>
      <w:r w:rsidRPr="00363A9D">
        <w:rPr>
          <w:sz w:val="20"/>
        </w:rPr>
        <w:t xml:space="preserve"> s ciljem jačanja prepoznatljivosti tržišta kapitala i njegovih aktivnih sudionika među financijskom i općom javnosti te nastojanja da izvrsnost bude prepoznata, podržana i nagrađena.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lastRenderedPageBreak/>
        <w:t xml:space="preserve">Krajem godine odobrena su i nova </w:t>
      </w:r>
      <w:r w:rsidRPr="00363A9D">
        <w:rPr>
          <w:b/>
          <w:sz w:val="20"/>
        </w:rPr>
        <w:t>Pravila Burze</w:t>
      </w:r>
      <w:r w:rsidRPr="00363A9D">
        <w:rPr>
          <w:sz w:val="20"/>
        </w:rPr>
        <w:t xml:space="preserve">, usklađena s </w:t>
      </w:r>
      <w:proofErr w:type="spellStart"/>
      <w:r w:rsidRPr="00363A9D">
        <w:rPr>
          <w:b/>
          <w:sz w:val="20"/>
        </w:rPr>
        <w:t>MIFID</w:t>
      </w:r>
      <w:proofErr w:type="spellEnd"/>
      <w:r w:rsidRPr="00363A9D">
        <w:rPr>
          <w:b/>
          <w:sz w:val="20"/>
        </w:rPr>
        <w:t xml:space="preserve"> II</w:t>
      </w:r>
      <w:r w:rsidRPr="00363A9D">
        <w:rPr>
          <w:sz w:val="20"/>
        </w:rPr>
        <w:t xml:space="preserve"> regulativom i pripadajućim uredbama te delegiranim i provedbenim aktima, a izvršene su i izmjene u Pravilima CE Enter tržišta. Uspješno je implementirana i nova inačica trgovinskog sustava </w:t>
      </w:r>
      <w:proofErr w:type="spellStart"/>
      <w:r w:rsidRPr="00363A9D">
        <w:rPr>
          <w:sz w:val="20"/>
        </w:rPr>
        <w:t>Xetra</w:t>
      </w:r>
      <w:proofErr w:type="spellEnd"/>
      <w:r w:rsidRPr="00363A9D">
        <w:rPr>
          <w:sz w:val="20"/>
        </w:rPr>
        <w:t xml:space="preserve"> 17.0, u cijelosti usklađena s novom regulativom. Radilo se o vrlo zahtjevnom projektu na koji se Zagrebačka burza, kao i sva druga europska tržišta, pripremala gotovo dvije godine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 xml:space="preserve">Nakon što je krajem 2017. Burza pokrenula proces pripreme za uvođenje </w:t>
      </w:r>
      <w:proofErr w:type="spellStart"/>
      <w:r w:rsidRPr="00363A9D">
        <w:rPr>
          <w:b/>
          <w:sz w:val="20"/>
        </w:rPr>
        <w:t>APA</w:t>
      </w:r>
      <w:proofErr w:type="spellEnd"/>
      <w:r w:rsidRPr="00363A9D">
        <w:rPr>
          <w:b/>
          <w:sz w:val="20"/>
        </w:rPr>
        <w:t xml:space="preserve"> usluge</w:t>
      </w:r>
      <w:r w:rsidRPr="00363A9D">
        <w:rPr>
          <w:sz w:val="20"/>
        </w:rPr>
        <w:t xml:space="preserve"> (ovlašteni sustav objavljivanja, </w:t>
      </w:r>
      <w:proofErr w:type="spellStart"/>
      <w:r w:rsidRPr="00363A9D">
        <w:rPr>
          <w:sz w:val="20"/>
        </w:rPr>
        <w:t>eng</w:t>
      </w:r>
      <w:proofErr w:type="spellEnd"/>
      <w:r w:rsidRPr="00363A9D">
        <w:rPr>
          <w:sz w:val="20"/>
        </w:rPr>
        <w:t xml:space="preserve">. </w:t>
      </w:r>
      <w:proofErr w:type="spellStart"/>
      <w:r w:rsidRPr="00363A9D">
        <w:rPr>
          <w:sz w:val="20"/>
        </w:rPr>
        <w:t>approved</w:t>
      </w:r>
      <w:proofErr w:type="spellEnd"/>
      <w:r w:rsidRPr="00363A9D">
        <w:rPr>
          <w:sz w:val="20"/>
        </w:rPr>
        <w:t xml:space="preserve"> </w:t>
      </w:r>
      <w:proofErr w:type="spellStart"/>
      <w:r w:rsidRPr="00363A9D">
        <w:rPr>
          <w:sz w:val="20"/>
        </w:rPr>
        <w:t>publication</w:t>
      </w:r>
      <w:proofErr w:type="spellEnd"/>
      <w:r w:rsidRPr="00363A9D">
        <w:rPr>
          <w:sz w:val="20"/>
        </w:rPr>
        <w:t xml:space="preserve"> </w:t>
      </w:r>
      <w:proofErr w:type="spellStart"/>
      <w:r w:rsidRPr="00363A9D">
        <w:rPr>
          <w:sz w:val="20"/>
        </w:rPr>
        <w:t>arrangement</w:t>
      </w:r>
      <w:proofErr w:type="spellEnd"/>
      <w:r w:rsidRPr="00363A9D">
        <w:rPr>
          <w:sz w:val="20"/>
        </w:rPr>
        <w:t>), a nastavno na novi regulatorni okvir tržišta kapitala (</w:t>
      </w:r>
      <w:proofErr w:type="spellStart"/>
      <w:r w:rsidRPr="00363A9D">
        <w:rPr>
          <w:sz w:val="20"/>
        </w:rPr>
        <w:t>MiFID</w:t>
      </w:r>
      <w:proofErr w:type="spellEnd"/>
      <w:r w:rsidRPr="00363A9D">
        <w:rPr>
          <w:sz w:val="20"/>
        </w:rPr>
        <w:t xml:space="preserve"> II i </w:t>
      </w:r>
      <w:proofErr w:type="spellStart"/>
      <w:r w:rsidRPr="00363A9D">
        <w:rPr>
          <w:sz w:val="20"/>
        </w:rPr>
        <w:t>MiFIR</w:t>
      </w:r>
      <w:proofErr w:type="spellEnd"/>
      <w:r w:rsidRPr="00363A9D">
        <w:rPr>
          <w:sz w:val="20"/>
        </w:rPr>
        <w:t xml:space="preserve">) koji predviđa obvezu prijave transakcija sklopljenih izvan mjesta trgovanja (tzv. </w:t>
      </w:r>
      <w:proofErr w:type="spellStart"/>
      <w:r w:rsidRPr="00363A9D">
        <w:rPr>
          <w:sz w:val="20"/>
        </w:rPr>
        <w:t>OTC</w:t>
      </w:r>
      <w:proofErr w:type="spellEnd"/>
      <w:r w:rsidRPr="00363A9D">
        <w:rPr>
          <w:sz w:val="20"/>
        </w:rPr>
        <w:t xml:space="preserve"> transakcije) financijskim instrumentima kojima se trguje na mjestu trgovanja (uređeno tržište i </w:t>
      </w:r>
      <w:proofErr w:type="spellStart"/>
      <w:r w:rsidRPr="00363A9D">
        <w:rPr>
          <w:sz w:val="20"/>
        </w:rPr>
        <w:t>MTP</w:t>
      </w:r>
      <w:proofErr w:type="spellEnd"/>
      <w:r w:rsidRPr="00363A9D">
        <w:rPr>
          <w:sz w:val="20"/>
        </w:rPr>
        <w:t>), s prvim danima 2018. uslijedilo je i odobrenje Hrvatske agencije za nadzor financijskih usluga za obavljanje te djelatnosti kojoj je cilj poboljšati kvalitetu informacija o transparentnosti trgovanja i znatno doprinijeti osiguranju da se one objavljuju na način koji će olakšati njihovo objedinjavanje s drugim podacima.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>Okruženje na financijskim tržištima u 2017. bilo je vrlo izazovno, prožeto sve strožim regulatornim zahtjevima, a domaće tržište k tome su obilježila i  specifična ekonomsko-politička previranja.</w:t>
      </w:r>
    </w:p>
    <w:p w:rsidR="00363A9D" w:rsidRPr="00363A9D" w:rsidRDefault="00363A9D" w:rsidP="00363A9D">
      <w:pPr>
        <w:pStyle w:val="NoSpacing"/>
        <w:jc w:val="both"/>
        <w:rPr>
          <w:sz w:val="20"/>
        </w:rPr>
      </w:pPr>
      <w:r w:rsidRPr="00363A9D">
        <w:rPr>
          <w:sz w:val="20"/>
        </w:rPr>
        <w:t>Unatoč tome, Zagrebačka burza uspjela je pokrenuti i realizirati nekoliko značajnih i inovativnih projekata važnih za budućnost domaćeg pa i regionalnog tržišta, zadržati poziciju lidera u okruženju, ispunjavati ulogu jednog od mehanizama u službi gospodarskog rasta, a uz to nastaviti pružati visoku razinu kvalitete svojih proizvoda i usluga kako bi se zadovoljile potrebe dioničara, ulagatelja, izdavatelja, članova i svih drugih zainteresiranih strana.</w:t>
      </w:r>
    </w:p>
    <w:p w:rsidR="00363A9D" w:rsidRDefault="00363A9D" w:rsidP="00363A9D">
      <w:r>
        <w:t xml:space="preserve"> </w:t>
      </w:r>
    </w:p>
    <w:p w:rsidR="00663B62" w:rsidRPr="00F816AD" w:rsidRDefault="00663B62" w:rsidP="00663B62">
      <w:pPr>
        <w:pStyle w:val="Heading3"/>
        <w:tabs>
          <w:tab w:val="right" w:pos="9072"/>
        </w:tabs>
        <w:rPr>
          <w:rFonts w:asciiTheme="minorHAnsi" w:hAnsiTheme="minorHAnsi"/>
          <w:color w:val="5F497A" w:themeColor="accent4" w:themeShade="BF"/>
          <w:spacing w:val="40"/>
          <w:sz w:val="28"/>
        </w:rPr>
      </w:pPr>
      <w:r w:rsidRPr="00F816AD">
        <w:rPr>
          <w:rFonts w:asciiTheme="minorHAnsi" w:hAnsiTheme="minorHAnsi"/>
          <w:color w:val="5F497A" w:themeColor="accent4" w:themeShade="BF"/>
          <w:spacing w:val="40"/>
          <w:sz w:val="28"/>
        </w:rPr>
        <w:t xml:space="preserve">TRGOVANJE </w:t>
      </w:r>
      <w:r w:rsidR="001F6FBA" w:rsidRPr="00F816AD">
        <w:rPr>
          <w:rFonts w:asciiTheme="minorHAnsi" w:hAnsiTheme="minorHAnsi"/>
          <w:color w:val="5F497A" w:themeColor="accent4" w:themeShade="BF"/>
          <w:spacing w:val="40"/>
          <w:sz w:val="28"/>
        </w:rPr>
        <w:t>U</w:t>
      </w:r>
      <w:r w:rsidR="001F6FBA">
        <w:rPr>
          <w:rFonts w:asciiTheme="minorHAnsi" w:hAnsiTheme="minorHAnsi"/>
          <w:color w:val="5F497A" w:themeColor="accent4" w:themeShade="BF"/>
          <w:spacing w:val="40"/>
          <w:sz w:val="28"/>
        </w:rPr>
        <w:t xml:space="preserve"> </w:t>
      </w:r>
      <w:r w:rsidR="001F6FBA" w:rsidRPr="00F816AD">
        <w:rPr>
          <w:rFonts w:asciiTheme="minorHAnsi" w:hAnsiTheme="minorHAnsi"/>
          <w:color w:val="5F497A" w:themeColor="accent4" w:themeShade="BF"/>
          <w:spacing w:val="40"/>
          <w:sz w:val="28"/>
        </w:rPr>
        <w:t>2017. GODINI</w:t>
      </w:r>
    </w:p>
    <w:p w:rsidR="00363A9D" w:rsidRDefault="00363A9D" w:rsidP="00363A9D"/>
    <w:p w:rsidR="00663B62" w:rsidRPr="00266E5B" w:rsidRDefault="00663B62" w:rsidP="00266E5B">
      <w:pPr>
        <w:pStyle w:val="NoSpacing"/>
        <w:jc w:val="both"/>
        <w:rPr>
          <w:sz w:val="20"/>
        </w:rPr>
      </w:pPr>
      <w:r w:rsidRPr="00266E5B">
        <w:rPr>
          <w:sz w:val="20"/>
        </w:rPr>
        <w:t>Godina 2017. započela je optimistično, rastom svih ključnih trgovinskih pokazatelja, a nastavak godine bio je obilježen neizvjesnošću vezanom uz razvoj situacije s dionicama društava sastavnicama koncerna Agrokor.</w:t>
      </w:r>
    </w:p>
    <w:p w:rsidR="00663B62" w:rsidRPr="00266E5B" w:rsidRDefault="00663B62" w:rsidP="00266E5B">
      <w:pPr>
        <w:pStyle w:val="NoSpacing"/>
        <w:jc w:val="both"/>
        <w:rPr>
          <w:sz w:val="20"/>
        </w:rPr>
      </w:pPr>
      <w:r w:rsidRPr="00266E5B">
        <w:rPr>
          <w:sz w:val="20"/>
        </w:rPr>
        <w:t>U konačnici je promet dionicama unutar knjige ponuda bio +37,3% veći nego 2016., a ukupni promet unutar knjige ponuda +24,6% bolji nego godinu ranije.</w:t>
      </w:r>
    </w:p>
    <w:p w:rsidR="00663B62" w:rsidRPr="00266E5B" w:rsidRDefault="00663B62" w:rsidP="00266E5B">
      <w:pPr>
        <w:pStyle w:val="NoSpacing"/>
        <w:jc w:val="both"/>
        <w:rPr>
          <w:sz w:val="20"/>
        </w:rPr>
      </w:pPr>
    </w:p>
    <w:p w:rsidR="00663B62" w:rsidRPr="00266E5B" w:rsidRDefault="00663B62" w:rsidP="00266E5B">
      <w:pPr>
        <w:pStyle w:val="NoSpacing"/>
        <w:jc w:val="both"/>
        <w:rPr>
          <w:sz w:val="20"/>
        </w:rPr>
      </w:pPr>
      <w:r w:rsidRPr="00266E5B">
        <w:rPr>
          <w:sz w:val="20"/>
        </w:rPr>
        <w:t>Iako je tržišna kapitalizacija dionica oslabjela -3,4%, rast tržišne kapitalizacije obveznica utjecao je na rast ukupne kapitalizacije od +1,6%.</w:t>
      </w:r>
    </w:p>
    <w:p w:rsidR="00663B62" w:rsidRPr="00266E5B" w:rsidRDefault="00663B62" w:rsidP="00266E5B">
      <w:pPr>
        <w:pStyle w:val="NoSpacing"/>
        <w:jc w:val="both"/>
        <w:rPr>
          <w:sz w:val="20"/>
        </w:rPr>
      </w:pPr>
    </w:p>
    <w:p w:rsidR="00663B62" w:rsidRPr="00266E5B" w:rsidRDefault="00663B62" w:rsidP="00266E5B">
      <w:pPr>
        <w:pStyle w:val="NoSpacing"/>
        <w:jc w:val="both"/>
        <w:rPr>
          <w:sz w:val="20"/>
        </w:rPr>
      </w:pPr>
      <w:r w:rsidRPr="00266E5B">
        <w:rPr>
          <w:sz w:val="20"/>
        </w:rPr>
        <w:t xml:space="preserve">Indeksi su godinu završili raznoliko: dok su CROBEX i CROBEX10 korigirani oko -7%, a CROBEXtr -5%, </w:t>
      </w:r>
      <w:proofErr w:type="spellStart"/>
      <w:r w:rsidRPr="00266E5B">
        <w:rPr>
          <w:sz w:val="20"/>
        </w:rPr>
        <w:t>CROBEXnutris</w:t>
      </w:r>
      <w:proofErr w:type="spellEnd"/>
      <w:r w:rsidRPr="00266E5B">
        <w:rPr>
          <w:sz w:val="20"/>
        </w:rPr>
        <w:t xml:space="preserve"> pretrpio je gubitak od značajnih -45,1%. Istovremeno, </w:t>
      </w:r>
      <w:proofErr w:type="spellStart"/>
      <w:r w:rsidRPr="00266E5B">
        <w:rPr>
          <w:sz w:val="20"/>
        </w:rPr>
        <w:t>CROBEXkonstrukt</w:t>
      </w:r>
      <w:proofErr w:type="spellEnd"/>
      <w:r w:rsidRPr="00266E5B">
        <w:rPr>
          <w:sz w:val="20"/>
        </w:rPr>
        <w:t xml:space="preserve"> rastao je +3,4%, </w:t>
      </w:r>
      <w:proofErr w:type="spellStart"/>
      <w:r w:rsidRPr="00266E5B">
        <w:rPr>
          <w:sz w:val="20"/>
        </w:rPr>
        <w:t>CROBEXturist</w:t>
      </w:r>
      <w:proofErr w:type="spellEnd"/>
      <w:r w:rsidRPr="00266E5B">
        <w:rPr>
          <w:sz w:val="20"/>
        </w:rPr>
        <w:t xml:space="preserve"> +10,75%, a </w:t>
      </w:r>
      <w:proofErr w:type="spellStart"/>
      <w:r w:rsidRPr="00266E5B">
        <w:rPr>
          <w:sz w:val="20"/>
        </w:rPr>
        <w:t>CROBEXtransport</w:t>
      </w:r>
      <w:proofErr w:type="spellEnd"/>
      <w:r w:rsidRPr="00266E5B">
        <w:rPr>
          <w:sz w:val="20"/>
        </w:rPr>
        <w:t xml:space="preserve"> čak +18,9%.</w:t>
      </w:r>
    </w:p>
    <w:p w:rsidR="00663B62" w:rsidRPr="00266E5B" w:rsidRDefault="00663B62" w:rsidP="00266E5B">
      <w:pPr>
        <w:pStyle w:val="NoSpacing"/>
        <w:jc w:val="both"/>
        <w:rPr>
          <w:sz w:val="20"/>
        </w:rPr>
      </w:pPr>
    </w:p>
    <w:p w:rsidR="00663B62" w:rsidRPr="00266E5B" w:rsidRDefault="00663B62" w:rsidP="00266E5B">
      <w:pPr>
        <w:pStyle w:val="NoSpacing"/>
        <w:jc w:val="both"/>
        <w:rPr>
          <w:sz w:val="20"/>
        </w:rPr>
      </w:pPr>
      <w:r w:rsidRPr="00266E5B">
        <w:rPr>
          <w:sz w:val="20"/>
        </w:rPr>
        <w:t xml:space="preserve">Najtrgovanija dionica bila je ona </w:t>
      </w:r>
      <w:proofErr w:type="spellStart"/>
      <w:r w:rsidRPr="00266E5B">
        <w:rPr>
          <w:sz w:val="20"/>
        </w:rPr>
        <w:t>Valamar</w:t>
      </w:r>
      <w:proofErr w:type="spellEnd"/>
      <w:r w:rsidRPr="00266E5B">
        <w:rPr>
          <w:sz w:val="20"/>
        </w:rPr>
        <w:t xml:space="preserve"> Riviere d.d., dok je najveći rast cijene ostvarila dionica Atlantske plovidbe d.d., porastavši više od +126%. </w:t>
      </w:r>
    </w:p>
    <w:p w:rsidR="00663B62" w:rsidRPr="00266E5B" w:rsidRDefault="00663B62" w:rsidP="00266E5B">
      <w:pPr>
        <w:pStyle w:val="NoSpacing"/>
        <w:jc w:val="both"/>
        <w:rPr>
          <w:sz w:val="20"/>
        </w:rPr>
      </w:pPr>
    </w:p>
    <w:p w:rsidR="008735DF" w:rsidRDefault="008735DF" w:rsidP="00266E5B">
      <w:pPr>
        <w:pStyle w:val="NoSpacing"/>
        <w:jc w:val="both"/>
        <w:rPr>
          <w:sz w:val="20"/>
        </w:rPr>
      </w:pPr>
    </w:p>
    <w:p w:rsidR="008735DF" w:rsidRDefault="008735DF" w:rsidP="008735DF"/>
    <w:p w:rsidR="009C79AD" w:rsidRPr="008735DF" w:rsidRDefault="009C79AD" w:rsidP="008735DF">
      <w:pPr>
        <w:jc w:val="center"/>
      </w:pPr>
    </w:p>
    <w:sectPr w:rsidR="009C79AD" w:rsidRPr="008735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A9D" w:rsidRDefault="00363A9D" w:rsidP="00363A9D">
      <w:pPr>
        <w:spacing w:after="0" w:line="240" w:lineRule="auto"/>
      </w:pPr>
      <w:r>
        <w:separator/>
      </w:r>
    </w:p>
  </w:endnote>
  <w:endnote w:type="continuationSeparator" w:id="0">
    <w:p w:rsidR="00363A9D" w:rsidRDefault="00363A9D" w:rsidP="00363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5DF" w:rsidRPr="00854753" w:rsidRDefault="00854753" w:rsidP="00854753">
    <w:pPr>
      <w:pStyle w:val="Footer"/>
      <w:jc w:val="right"/>
      <w:rPr>
        <w:color w:val="5F497A" w:themeColor="accent4" w:themeShade="BF"/>
      </w:rPr>
    </w:pPr>
    <w:r w:rsidRPr="00854753">
      <w:rPr>
        <w:noProof/>
        <w:color w:val="5F497A" w:themeColor="accent4" w:themeShade="BF"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553FB1" wp14:editId="1C796276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18415" b="15240"/>
              <wp:wrapNone/>
              <wp:docPr id="40" name="Rectang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Rectangle 40" o:spid="_x0000_s1026" style="position:absolute;margin-left:0;margin-top:0;width:579.9pt;height:750.3pt;z-index:251660288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" filled="f" strokecolor="#bfbfbf [2412]" strokeweight="1.5pt">
              <w10:wrap anchorx="page" anchory="page"/>
            </v:rect>
          </w:pict>
        </mc:Fallback>
      </mc:AlternateContent>
    </w:r>
    <w:r w:rsidRPr="00854753">
      <w:rPr>
        <w:rFonts w:eastAsiaTheme="minorEastAsia"/>
        <w:color w:val="5F497A" w:themeColor="accent4" w:themeShade="BF"/>
        <w:sz w:val="20"/>
        <w:szCs w:val="20"/>
      </w:rPr>
      <w:fldChar w:fldCharType="begin"/>
    </w:r>
    <w:r w:rsidRPr="00854753">
      <w:rPr>
        <w:color w:val="5F497A" w:themeColor="accent4" w:themeShade="BF"/>
        <w:sz w:val="20"/>
        <w:szCs w:val="20"/>
      </w:rPr>
      <w:instrText xml:space="preserve"> PAGE    \* MERGEFORMAT </w:instrText>
    </w:r>
    <w:r w:rsidRPr="00854753">
      <w:rPr>
        <w:rFonts w:eastAsiaTheme="minorEastAsia"/>
        <w:color w:val="5F497A" w:themeColor="accent4" w:themeShade="BF"/>
        <w:sz w:val="20"/>
        <w:szCs w:val="20"/>
      </w:rPr>
      <w:fldChar w:fldCharType="separate"/>
    </w:r>
    <w:r w:rsidR="00A7726A" w:rsidRPr="00A7726A">
      <w:rPr>
        <w:rFonts w:eastAsiaTheme="majorEastAsia" w:cstheme="majorBidi"/>
        <w:noProof/>
        <w:color w:val="5F497A" w:themeColor="accent4" w:themeShade="BF"/>
        <w:sz w:val="20"/>
        <w:szCs w:val="20"/>
      </w:rPr>
      <w:t>1</w:t>
    </w:r>
    <w:r w:rsidRPr="00854753">
      <w:rPr>
        <w:rFonts w:eastAsiaTheme="majorEastAsia" w:cstheme="majorBidi"/>
        <w:noProof/>
        <w:color w:val="5F497A" w:themeColor="accent4" w:themeShade="B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A9D" w:rsidRDefault="00363A9D" w:rsidP="00363A9D">
      <w:pPr>
        <w:spacing w:after="0" w:line="240" w:lineRule="auto"/>
      </w:pPr>
      <w:r>
        <w:separator/>
      </w:r>
    </w:p>
  </w:footnote>
  <w:footnote w:type="continuationSeparator" w:id="0">
    <w:p w:rsidR="00363A9D" w:rsidRDefault="00363A9D" w:rsidP="00363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A9D" w:rsidRDefault="00363A9D" w:rsidP="00363A9D">
    <w:pPr>
      <w:pStyle w:val="Heading3"/>
      <w:tabs>
        <w:tab w:val="right" w:pos="9072"/>
      </w:tabs>
      <w:rPr>
        <w:rFonts w:asciiTheme="minorHAnsi" w:hAnsiTheme="minorHAnsi"/>
        <w:color w:val="5F497A" w:themeColor="accent4" w:themeShade="BF"/>
        <w:spacing w:val="40"/>
      </w:rPr>
    </w:pPr>
    <w:r w:rsidRPr="00363A9D">
      <w:rPr>
        <w:rFonts w:asciiTheme="minorHAnsi" w:hAnsiTheme="minorHAnsi"/>
        <w:noProof/>
        <w:color w:val="5F497A" w:themeColor="accent4" w:themeShade="BF"/>
        <w:spacing w:val="40"/>
        <w:lang w:eastAsia="hr-HR"/>
      </w:rPr>
      <w:drawing>
        <wp:anchor distT="0" distB="0" distL="114300" distR="114300" simplePos="0" relativeHeight="251658240" behindDoc="1" locked="0" layoutInCell="1" allowOverlap="1" wp14:anchorId="28F84391" wp14:editId="5744CA8C">
          <wp:simplePos x="0" y="0"/>
          <wp:positionH relativeFrom="column">
            <wp:posOffset>4919980</wp:posOffset>
          </wp:positionH>
          <wp:positionV relativeFrom="paragraph">
            <wp:posOffset>157480</wp:posOffset>
          </wp:positionV>
          <wp:extent cx="1038225" cy="1028700"/>
          <wp:effectExtent l="0" t="0" r="9525" b="0"/>
          <wp:wrapTight wrapText="bothSides">
            <wp:wrapPolygon edited="0">
              <wp:start x="0" y="0"/>
              <wp:lineTo x="0" y="21200"/>
              <wp:lineTo x="21402" y="21200"/>
              <wp:lineTo x="2140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grebacka-burza---logo-vertikalno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000" t="16249" r="13125" b="12501"/>
                  <a:stretch/>
                </pic:blipFill>
                <pic:spPr bwMode="auto"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A9D" w:rsidRPr="00854753" w:rsidRDefault="00363A9D" w:rsidP="00363A9D">
    <w:pPr>
      <w:pStyle w:val="Heading3"/>
      <w:tabs>
        <w:tab w:val="right" w:pos="9072"/>
      </w:tabs>
      <w:rPr>
        <w:rFonts w:asciiTheme="minorHAnsi" w:hAnsiTheme="minorHAnsi"/>
        <w:color w:val="5F497A" w:themeColor="accent4" w:themeShade="BF"/>
        <w:spacing w:val="40"/>
        <w:sz w:val="36"/>
      </w:rPr>
    </w:pPr>
    <w:r w:rsidRPr="00854753">
      <w:rPr>
        <w:rFonts w:asciiTheme="minorHAnsi" w:hAnsiTheme="minorHAnsi"/>
        <w:color w:val="5F497A" w:themeColor="accent4" w:themeShade="BF"/>
        <w:spacing w:val="40"/>
        <w:sz w:val="36"/>
      </w:rPr>
      <w:t>ZAGREBAČKA BURZA U 2017. GODINI</w:t>
    </w:r>
  </w:p>
  <w:p w:rsidR="00363A9D" w:rsidRDefault="00363A9D" w:rsidP="00363A9D"/>
  <w:p w:rsidR="00363A9D" w:rsidRDefault="00363A9D" w:rsidP="00363A9D">
    <w:pPr>
      <w:pStyle w:val="Header"/>
      <w:jc w:val="right"/>
    </w:pPr>
  </w:p>
  <w:p w:rsidR="00363A9D" w:rsidRDefault="00363A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9D0"/>
    <w:rsid w:val="001F6FBA"/>
    <w:rsid w:val="00266E5B"/>
    <w:rsid w:val="00363A9D"/>
    <w:rsid w:val="00663B62"/>
    <w:rsid w:val="00854753"/>
    <w:rsid w:val="008735DF"/>
    <w:rsid w:val="009239D6"/>
    <w:rsid w:val="009C79AD"/>
    <w:rsid w:val="00A7726A"/>
    <w:rsid w:val="00BB73B1"/>
    <w:rsid w:val="00CE08DB"/>
    <w:rsid w:val="00F309D0"/>
    <w:rsid w:val="00F8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3A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3A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3A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A9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3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A9D"/>
  </w:style>
  <w:style w:type="paragraph" w:styleId="Footer">
    <w:name w:val="footer"/>
    <w:basedOn w:val="Normal"/>
    <w:link w:val="FooterChar"/>
    <w:uiPriority w:val="99"/>
    <w:unhideWhenUsed/>
    <w:rsid w:val="00363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A9D"/>
  </w:style>
  <w:style w:type="character" w:customStyle="1" w:styleId="Heading1Char">
    <w:name w:val="Heading 1 Char"/>
    <w:basedOn w:val="DefaultParagraphFont"/>
    <w:link w:val="Heading1"/>
    <w:uiPriority w:val="9"/>
    <w:rsid w:val="00363A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3A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63A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363A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3A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3A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3A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A9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3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A9D"/>
  </w:style>
  <w:style w:type="paragraph" w:styleId="Footer">
    <w:name w:val="footer"/>
    <w:basedOn w:val="Normal"/>
    <w:link w:val="FooterChar"/>
    <w:uiPriority w:val="99"/>
    <w:unhideWhenUsed/>
    <w:rsid w:val="00363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A9D"/>
  </w:style>
  <w:style w:type="character" w:customStyle="1" w:styleId="Heading1Char">
    <w:name w:val="Heading 1 Char"/>
    <w:basedOn w:val="DefaultParagraphFont"/>
    <w:link w:val="Heading1"/>
    <w:uiPriority w:val="9"/>
    <w:rsid w:val="00363A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3A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63A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363A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F11C7-F257-43F9-A87D-9D987764E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1667</Words>
  <Characters>9507</Characters>
  <Application>Microsoft Office Word</Application>
  <DocSecurity>0</DocSecurity>
  <Lines>79</Lines>
  <Paragraphs>22</Paragraphs>
  <ScaleCrop>false</ScaleCrop>
  <Company>Hewlett-Packard Company</Company>
  <LinksUpToDate>false</LinksUpToDate>
  <CharactersWithSpaces>11152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sanda</dc:creator>
  <cp:keywords/>
  <dc:description/>
  <cp:lastModifiedBy>sanda</cp:lastModifiedBy>
  <cp:revision>12</cp:revision>
  <dcterms:created xsi:type="dcterms:W3CDTF">2018-01-08T11:29:00Z</dcterms:created>
  <dcterms:modified xsi:type="dcterms:W3CDTF">2018-01-08T12:07:00Z</dcterms:modified>
</cp:coreProperties>
</file>