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C66E" w14:textId="77777777" w:rsidR="00363A9D" w:rsidRPr="009239D6" w:rsidRDefault="00363A9D" w:rsidP="00363A9D">
      <w:pPr>
        <w:pStyle w:val="Heading3"/>
        <w:tabs>
          <w:tab w:val="right" w:pos="9072"/>
        </w:tabs>
        <w:rPr>
          <w:rFonts w:asciiTheme="minorHAnsi" w:hAnsiTheme="minorHAnsi"/>
          <w:color w:val="5F497A" w:themeColor="accent4" w:themeShade="BF"/>
          <w:spacing w:val="40"/>
          <w:sz w:val="28"/>
        </w:rPr>
      </w:pPr>
      <w:r>
        <w:rPr>
          <w:rFonts w:asciiTheme="minorHAnsi" w:hAnsiTheme="minorHAnsi"/>
          <w:color w:val="5F497A" w:themeColor="accent4" w:themeShade="BF"/>
          <w:sz w:val="28"/>
        </w:rPr>
        <w:t>STATEMENT OF THE MANAGEMENT BOARD</w:t>
      </w:r>
    </w:p>
    <w:p w14:paraId="02464228" w14:textId="77777777" w:rsidR="00363A9D" w:rsidRPr="00363A9D" w:rsidRDefault="00363A9D" w:rsidP="00363A9D"/>
    <w:p w14:paraId="5C64BAFE" w14:textId="08A35FF2" w:rsidR="000561CB" w:rsidRDefault="000561CB" w:rsidP="000561CB">
      <w:pPr>
        <w:jc w:val="both"/>
      </w:pPr>
      <w:r>
        <w:t xml:space="preserve">Most of the year behind us was marked by various challenges which </w:t>
      </w:r>
      <w:r w:rsidR="00B82ADA">
        <w:t>shap</w:t>
      </w:r>
      <w:r>
        <w:t>ed a rather diverse market environment. It most certainly did not lack activities, events or projects aimed at strengthening the capacity of the capital market and creating new opportunities for investors, listed companies and all stakeholders.</w:t>
      </w:r>
    </w:p>
    <w:p w14:paraId="1F66808A" w14:textId="5CFA880A" w:rsidR="000561CB" w:rsidRDefault="000561CB" w:rsidP="000561CB">
      <w:pPr>
        <w:jc w:val="both"/>
      </w:pPr>
      <w:r>
        <w:t xml:space="preserve">At the very beginning of the year, the Zagreb Stock Exchange Progress Market was registered as one of the first and very few SME growth markets in Europe. The Progress Market is a multilateral trading facility which may be used by small and medium-sized enterprises as a vehicle for the implementation of their investment plans. It is part of a development strategy of the Zagreb Stock Exchange focused on creating the conditions </w:t>
      </w:r>
      <w:r w:rsidR="00E44829">
        <w:t>to provide</w:t>
      </w:r>
      <w:r>
        <w:t xml:space="preserve"> growth capital to companies in all stages of their development, fostering a positive environment for entrepreneurs that also will be conducive to economic growth and employment. By the end of 2019, a total of five issuers had their shares admitted to trading on the Progress Market.</w:t>
      </w:r>
    </w:p>
    <w:p w14:paraId="3A5DE595" w14:textId="510BCE7E" w:rsidR="000561CB" w:rsidRDefault="000561CB" w:rsidP="000561CB">
      <w:pPr>
        <w:jc w:val="both"/>
      </w:pPr>
      <w:r>
        <w:t>The ZSE Academy has once again taken active part in marking the World and European Money Week, as one of 53,300 global organisation</w:t>
      </w:r>
      <w:r w:rsidR="007744AA">
        <w:t>s</w:t>
      </w:r>
      <w:r>
        <w:t xml:space="preserve"> seeking to raise awareness of the importance of financial literacy among young people and spur them to think about financial planning of their future, investment and entrepreneurship. It also hosted the 14</w:t>
      </w:r>
      <w:r>
        <w:rPr>
          <w:vertAlign w:val="superscript"/>
        </w:rPr>
        <w:t>th</w:t>
      </w:r>
      <w:r>
        <w:t xml:space="preserve"> ZSE Academy round table entitled “2019 – what will it bring to the capital market and economy?” w</w:t>
      </w:r>
      <w:r w:rsidR="00E44829">
        <w:t>hich gathered</w:t>
      </w:r>
      <w:r>
        <w:t xml:space="preserve"> a record number of participants. The Academy, which </w:t>
      </w:r>
      <w:r w:rsidR="00E44829">
        <w:t>celebrat</w:t>
      </w:r>
      <w:r>
        <w:t>ed its 9</w:t>
      </w:r>
      <w:r>
        <w:rPr>
          <w:vertAlign w:val="superscript"/>
        </w:rPr>
        <w:t>th</w:t>
      </w:r>
      <w:r>
        <w:t xml:space="preserve"> anniversary in May, closed the year with more than 9,000 individuals </w:t>
      </w:r>
      <w:r w:rsidR="00E44829">
        <w:t>wh</w:t>
      </w:r>
      <w:r>
        <w:t>o have completed one of its education and training programmes. In July, the Croatian Financial Services Supervisory Agency issued a positive opinion on the course programme for the ZSE L1 Certificate, which is considered to be a recognised qualification for the provi</w:t>
      </w:r>
      <w:r w:rsidR="00E44829">
        <w:t>ders</w:t>
      </w:r>
      <w:r>
        <w:t xml:space="preserve"> of information on services and financial instrument</w:t>
      </w:r>
      <w:r w:rsidR="00E44829">
        <w:t>s</w:t>
      </w:r>
      <w:r>
        <w:t xml:space="preserve"> under the Ordinance on qualifications and HR requirements for the provision of investment services, so this programme was placed on a list of recognised professional qualifications. </w:t>
      </w:r>
    </w:p>
    <w:p w14:paraId="3F3D487D" w14:textId="69F07EC9" w:rsidR="000561CB" w:rsidRDefault="000561CB" w:rsidP="000561CB">
      <w:pPr>
        <w:jc w:val="both"/>
      </w:pPr>
      <w:r>
        <w:t>February</w:t>
      </w:r>
      <w:r w:rsidR="00E44829">
        <w:t xml:space="preserve"> saw</w:t>
      </w:r>
      <w:r>
        <w:t xml:space="preserve"> the launch of the new share index of the Zagreb Stock Exchange – the CROBEXprime, whose constituents include shares listed in the Exchange’s top tier. In April, the shares of Valamar Rivi</w:t>
      </w:r>
      <w:r w:rsidR="007744AA">
        <w:t>e</w:t>
      </w:r>
      <w:r>
        <w:t>ra d.d. were admitted to trading, thus expanding the CROBEXprime index. It was the fifth company t</w:t>
      </w:r>
      <w:r w:rsidR="009D141B">
        <w:t>o</w:t>
      </w:r>
      <w:r>
        <w:t xml:space="preserve"> adopt the highest standards of corporate governance and transparency required for the Prime Market.</w:t>
      </w:r>
    </w:p>
    <w:p w14:paraId="2D12C891" w14:textId="1E1544CA" w:rsidR="000561CB" w:rsidRDefault="000561CB" w:rsidP="000561CB">
      <w:pPr>
        <w:jc w:val="both"/>
      </w:pPr>
      <w:r>
        <w:t>A joint index of the Zagreb and the Ljubljana Stock Exchange began to be published under the name of ADRIAprime</w:t>
      </w:r>
      <w:r w:rsidR="000277F1">
        <w:t xml:space="preserve"> in June</w:t>
      </w:r>
      <w:r>
        <w:t>. Its constituents are the shares admitted to trading on the Prime Market of the two exchanges, making ADRIAprime the first joint index and the eleventh share index of the Zagreb Stock Exchange.</w:t>
      </w:r>
    </w:p>
    <w:p w14:paraId="44A51E65" w14:textId="43E4E156" w:rsidR="000561CB" w:rsidRDefault="000561CB" w:rsidP="000561CB">
      <w:pPr>
        <w:jc w:val="both"/>
      </w:pPr>
      <w:r>
        <w:lastRenderedPageBreak/>
        <w:t xml:space="preserve">The Zagreb Stock Exchange was among the 84 exchanges </w:t>
      </w:r>
      <w:r w:rsidR="00F93460">
        <w:t xml:space="preserve">worldwide </w:t>
      </w:r>
      <w:r>
        <w:t>to mark the International Women</w:t>
      </w:r>
      <w:r w:rsidR="00F93460">
        <w:t>’</w:t>
      </w:r>
      <w:r>
        <w:t xml:space="preserve">s Day in March by symbolically ringing the bell for the start of trading in a bid to draw attention to the vital role of the business sector in enhancing gender equality, as one of the goals to </w:t>
      </w:r>
      <w:r w:rsidR="00F93460">
        <w:t xml:space="preserve">be </w:t>
      </w:r>
      <w:r>
        <w:t>attain</w:t>
      </w:r>
      <w:r w:rsidR="00F93460">
        <w:t>ed</w:t>
      </w:r>
      <w:r>
        <w:t xml:space="preserve"> on a path of sustainable development. </w:t>
      </w:r>
    </w:p>
    <w:p w14:paraId="0D8BD99E" w14:textId="77777777" w:rsidR="000561CB" w:rsidRDefault="000561CB" w:rsidP="000561CB">
      <w:pPr>
        <w:jc w:val="both"/>
      </w:pPr>
      <w:r>
        <w:t>In June, the Croatian Financial Services Supervisory Agency, the Central Depository and Clearing Company and the Zagreb Stock Exchange held their 10</w:t>
      </w:r>
      <w:r>
        <w:rPr>
          <w:vertAlign w:val="superscript"/>
        </w:rPr>
        <w:t>th</w:t>
      </w:r>
      <w:r>
        <w:t xml:space="preserve"> round of annual education for the approximately 100 representatives of the issuers whose shares are traded on the Exchange’s regulated market.</w:t>
      </w:r>
    </w:p>
    <w:p w14:paraId="49283C78" w14:textId="550F11FA" w:rsidR="000561CB" w:rsidRDefault="000561CB" w:rsidP="000561CB">
      <w:pPr>
        <w:jc w:val="both"/>
      </w:pPr>
      <w:r>
        <w:t>In April, the Zagreb and the Ljubljana Stock Exchange held a first presentation of their markets and issuers in the United States. The event was held at NASDAQ, the second biggest world stock exchange, in New York in cooperation with the internationally renowned investment firm Auerbach Grayson and was very well attended by investors. Zagreb was the venue of the 6</w:t>
      </w:r>
      <w:r>
        <w:rPr>
          <w:vertAlign w:val="superscript"/>
        </w:rPr>
        <w:t>th</w:t>
      </w:r>
      <w:r>
        <w:t xml:space="preserve"> annual Slovenian and Croatian Investment Days in May, while both exchanges organised their first joint winter Investment Day in Ljubljana in December. Also, the Zagreb Stock Exchange held its first ever investor-oriented webcast for Prime Market issuers. The event, supported by Erste &amp; Steiermärkische Bank d.d. and </w:t>
      </w:r>
      <w:r>
        <w:rPr>
          <w:i/>
        </w:rPr>
        <w:t>Interkapital vrijednosni papiri d.o.o.</w:t>
      </w:r>
      <w:r>
        <w:t xml:space="preserve">, was aimed at opening a new communication channel between investors and issuers to present the companies </w:t>
      </w:r>
      <w:r w:rsidR="00F2371E">
        <w:t xml:space="preserve">trading </w:t>
      </w:r>
      <w:r>
        <w:t xml:space="preserve">on the Prime Market, as the most demanding market segment, to a wider investment circle. Thanks to the Zagreb and the Ljubljana Stock Exchange backing, listed companies were able to hold more than 360 meetings with investors in the course of 2019, and the two exchanges plan to press on with both individual and joint efforts </w:t>
      </w:r>
      <w:r w:rsidR="00F94792">
        <w:t>at</w:t>
      </w:r>
      <w:r>
        <w:t xml:space="preserve"> maintain</w:t>
      </w:r>
      <w:r w:rsidR="00F94792">
        <w:t>ing</w:t>
      </w:r>
      <w:bookmarkStart w:id="0" w:name="_GoBack"/>
      <w:bookmarkEnd w:id="0"/>
      <w:r>
        <w:t xml:space="preserve"> an open dialogue between the two sides in the investment process.</w:t>
      </w:r>
    </w:p>
    <w:p w14:paraId="27A498AB" w14:textId="014730BF" w:rsidR="000561CB" w:rsidRDefault="000561CB" w:rsidP="000561CB">
      <w:pPr>
        <w:jc w:val="both"/>
      </w:pPr>
      <w:r>
        <w:t>The new, revised Croatian Financial Services Supervisory Agency and Zagreb Stock Exchange, Inc. Code of Corporate Governance</w:t>
      </w:r>
      <w:r w:rsidR="001B61E0">
        <w:t>,</w:t>
      </w:r>
      <w:r>
        <w:t xml:space="preserve"> to be applied as of 2020</w:t>
      </w:r>
      <w:r w:rsidR="001B61E0">
        <w:t>,</w:t>
      </w:r>
      <w:r>
        <w:t xml:space="preserve"> was adopted at a ceremony in October. The intention was to create a more concise and simple Code, which will clearly indicate good practices while reducing the necessary reporting time for companies. The new Code focuses particularly on the responsibility of management and supervisory boards, the diversity of their members, especially as regards gender diversity, and the independence of the supervisory board and its committee</w:t>
      </w:r>
      <w:r w:rsidR="001B61E0">
        <w:t>s</w:t>
      </w:r>
      <w:r>
        <w:t>, as well as a simplified and easier reporting on the status of corporate governance for the companies bound by the Code. The 8</w:t>
      </w:r>
      <w:r>
        <w:rPr>
          <w:vertAlign w:val="superscript"/>
        </w:rPr>
        <w:t>th</w:t>
      </w:r>
      <w:r>
        <w:t xml:space="preserve"> joint Zagreb Stock Exchange and investment fund industry Challenge of Change conference was held traditionally in Rovinj late in October. As the central event of the Croatian and regional financial community, this year’s conference attracted 40-odd speakers and some 450 participants from all branches of the financial industry from Croatia, its region and the world. Its co-organisers are the Zagreb Stock Exchange and the Association of Pension Fund Management and Pension Insurance Companies.</w:t>
      </w:r>
    </w:p>
    <w:p w14:paraId="7081A020" w14:textId="77777777" w:rsidR="000561CB" w:rsidRDefault="000561CB" w:rsidP="000561CB">
      <w:pPr>
        <w:jc w:val="both"/>
      </w:pPr>
      <w:r>
        <w:t>The Zagreb Stock Exchange LEI Service, as one of no more than 34 globally accredited LEI assignment entities, managed a total of 1,037 LEIs at the end of the year. According to the performance criteria of the Global LEI Foundation, the quality of the ZSE LEI Service scored an exceptionally high 99-100%.</w:t>
      </w:r>
    </w:p>
    <w:p w14:paraId="37E8DAD2" w14:textId="77777777" w:rsidR="000561CB" w:rsidRDefault="000561CB" w:rsidP="000561CB">
      <w:r>
        <w:lastRenderedPageBreak/>
        <w:t>In November, the Croatian Financial Services Supervisory Agency issued a decision approving the new Exchange Rules. Most of the amendments refer to a harmonisation with the technical capabilities of the new version of the XETRA T7 trading system and to the alignment of terminology with the provisions of the Capital Market Act. Some of the amendments reflect the introduction of the new low liquidity trading procedure and the criteria of distribution to the public as a prerequisite for admission to trading on the Official Market. In addition, the issuers with shares admitted to trading on the Official Market are required to put in place an investor relations function as an element aimed, among other things, at improving the issuer reporting quality. These Exchange Rules have laid down in detail the method of checking compliance with post-admission requirements in all segments for the purpose of raising the level of transparency by the issuers with financial instruments admitted to trading on the regulated market.</w:t>
      </w:r>
    </w:p>
    <w:p w14:paraId="7B1F730B" w14:textId="77777777" w:rsidR="000561CB" w:rsidRPr="00844BC0" w:rsidRDefault="000561CB" w:rsidP="000561CB">
      <w:r>
        <w:t>The new version of the XETRA T7 trading system was successfully implemented early in December.</w:t>
      </w:r>
    </w:p>
    <w:p w14:paraId="008D5527" w14:textId="78DF9AE1" w:rsidR="000561CB" w:rsidRDefault="000561CB" w:rsidP="000561CB">
      <w:pPr>
        <w:jc w:val="both"/>
      </w:pPr>
      <w:r>
        <w:t xml:space="preserve">At the very close of the year, the Zagreb Stock Exchange acquired a 5.3% share in the Macedonian Stock Exchange (MSE) as a step towards active participation in its development. Earlier this year, MSE signed an exclusive cooperation agreement with the Croatian Funderbeam South-East Europe Ltd. </w:t>
      </w:r>
      <w:r w:rsidR="003D7698">
        <w:t xml:space="preserve">company </w:t>
      </w:r>
      <w:r>
        <w:t xml:space="preserve">(Funderbeam SEE), in which the Zagreb Stock Exchange has a 20% interest. Funderbeam SEE is part of the Estonian Funderbeam Group, which operates a start-up financing facility. As the Zagreb and the Macedonian Stock Exchange have had a successful collaboration in various projects focused on strengthening local capital markets and the regional economy as a whole, this is a further effort at fostering joint activities in that field. To date, Funderbeam SEE has enabled Croatian start-ups and SMEs to raise more than EUR 5 million in capital </w:t>
      </w:r>
      <w:r w:rsidR="00D54690">
        <w:t>v</w:t>
      </w:r>
      <w:r>
        <w:t>i</w:t>
      </w:r>
      <w:r w:rsidR="00D54690">
        <w:t>a</w:t>
      </w:r>
      <w:r>
        <w:t xml:space="preserve"> 10 campaigns.</w:t>
      </w:r>
    </w:p>
    <w:p w14:paraId="490858DD" w14:textId="5DE895D9" w:rsidR="000561CB" w:rsidRDefault="000561CB" w:rsidP="000561CB">
      <w:pPr>
        <w:jc w:val="both"/>
      </w:pPr>
      <w:r>
        <w:t xml:space="preserve">In December, the Capital Financial Services Supervisory Agency authorised the registration of the Zagreb Stock Exchange as a benchmark administrator for its CROBEX, CROBEXtr, CROBEX10, CROBEXprime </w:t>
      </w:r>
      <w:r w:rsidR="00CE1CDA">
        <w:t>and</w:t>
      </w:r>
      <w:r>
        <w:t xml:space="preserve"> ADRIAprime indices</w:t>
      </w:r>
      <w:r w:rsidR="00550F08">
        <w:t>. As a result</w:t>
      </w:r>
      <w:r>
        <w:t xml:space="preserve">, the Zagreb Stock Exchange was entered in the register of administrators and benchmarks complied and maintained by the European Securities and Markets Authority (ESMA). This was a further endorsement of the high level of transparency and quality of ZSE indices also with regard to compliance with European regulatory standards. </w:t>
      </w:r>
    </w:p>
    <w:p w14:paraId="6045E9C1" w14:textId="4997D76C" w:rsidR="000561CB" w:rsidRDefault="000561CB" w:rsidP="000561CB">
      <w:pPr>
        <w:jc w:val="both"/>
      </w:pPr>
      <w:r>
        <w:t>In 2019, the Zagreb Stock Exchange fully justified its position as a regional leader by continuing to provide superior quality products and services in a bid to strengthen the very market capacity and provide for the need</w:t>
      </w:r>
      <w:r w:rsidR="00C12E22">
        <w:t>s</w:t>
      </w:r>
      <w:r>
        <w:t xml:space="preserve"> </w:t>
      </w:r>
      <w:r w:rsidR="00C12E22">
        <w:t xml:space="preserve">of </w:t>
      </w:r>
      <w:r>
        <w:t>shareholders, investors, issuers, member firms and all other stakeholders for efficient, transparent and cost-effective capital market services.</w:t>
      </w:r>
    </w:p>
    <w:p w14:paraId="752583C0" w14:textId="76D3FDB0" w:rsidR="000561CB" w:rsidRDefault="000561CB" w:rsidP="000561CB">
      <w:pPr>
        <w:jc w:val="both"/>
      </w:pPr>
      <w:r>
        <w:t>Exchange activities in the coming year will maintain the pace set in this year,</w:t>
      </w:r>
      <w:r w:rsidR="00C12E22">
        <w:t xml:space="preserve"> striv</w:t>
      </w:r>
      <w:r>
        <w:t xml:space="preserve">ing to enhance the level of knowledge and expertise of all capital market participants through the ZSE Academy, as well </w:t>
      </w:r>
      <w:r w:rsidR="009E6A2E">
        <w:t xml:space="preserve">as </w:t>
      </w:r>
      <w:r>
        <w:t xml:space="preserve">through continued work with the regulator, issuers and other stakeholders to create an environment conducive to excellence, the highest ethical standards in business and corporate governance. This is aimed indirectly at helping to increase the value of the market as a whole, create better investment opportunities for companies and investors and strengthen the Prime Market, as a </w:t>
      </w:r>
      <w:r>
        <w:lastRenderedPageBreak/>
        <w:t xml:space="preserve">paragon of corporate governance good practices, and bolster the efforts </w:t>
      </w:r>
      <w:r w:rsidR="009E6A2E">
        <w:t>to</w:t>
      </w:r>
      <w:r>
        <w:t xml:space="preserve"> facilitat</w:t>
      </w:r>
      <w:r w:rsidR="009E6A2E">
        <w:t>e</w:t>
      </w:r>
      <w:r>
        <w:t xml:space="preserve"> the access to local and international investors by listed companies, thus improving their visibility and liquidity and raising general investor interest in the Croatian capital market. </w:t>
      </w:r>
    </w:p>
    <w:p w14:paraId="3B3C5982" w14:textId="77777777" w:rsidR="00363A9D" w:rsidRDefault="00363A9D" w:rsidP="00363A9D"/>
    <w:p w14:paraId="15429457" w14:textId="77777777" w:rsidR="00663B62" w:rsidRPr="00F816AD" w:rsidRDefault="00663B62" w:rsidP="00663B62">
      <w:pPr>
        <w:pStyle w:val="Heading3"/>
        <w:tabs>
          <w:tab w:val="right" w:pos="9072"/>
        </w:tabs>
        <w:rPr>
          <w:rFonts w:asciiTheme="minorHAnsi" w:hAnsiTheme="minorHAnsi"/>
          <w:color w:val="5F497A" w:themeColor="accent4" w:themeShade="BF"/>
          <w:spacing w:val="40"/>
          <w:sz w:val="28"/>
        </w:rPr>
      </w:pPr>
      <w:r>
        <w:rPr>
          <w:rFonts w:asciiTheme="minorHAnsi" w:hAnsiTheme="minorHAnsi"/>
          <w:color w:val="5F497A" w:themeColor="accent4" w:themeShade="BF"/>
          <w:sz w:val="28"/>
        </w:rPr>
        <w:t>TRADING IN 2019</w:t>
      </w:r>
    </w:p>
    <w:p w14:paraId="3641855A" w14:textId="77777777" w:rsidR="00363A9D" w:rsidRDefault="00363A9D" w:rsidP="00363A9D"/>
    <w:p w14:paraId="0AA5ACEF" w14:textId="6A3CFB30" w:rsidR="000561CB" w:rsidRDefault="000561CB" w:rsidP="000561CB">
      <w:pPr>
        <w:jc w:val="both"/>
      </w:pPr>
      <w:r>
        <w:t xml:space="preserve">The year behind us was marked by considerable trading volatility but its second half recorded a mostly positive trend, primarily as a result of increased investor interest in the shares of confectioner </w:t>
      </w:r>
      <w:r>
        <w:rPr>
          <w:i/>
        </w:rPr>
        <w:t>Kraš d.d.</w:t>
      </w:r>
      <w:r>
        <w:t xml:space="preserve"> </w:t>
      </w:r>
      <w:r w:rsidR="009E6A2E">
        <w:t>This</w:t>
      </w:r>
      <w:r>
        <w:t xml:space="preserve"> also benefited the rest of the market to a certain extent, so trading indicators improved: order book trading turnover rose 9%, with share trading growing 38%.</w:t>
      </w:r>
    </w:p>
    <w:p w14:paraId="10E7FB22" w14:textId="77777777" w:rsidR="000561CB" w:rsidRDefault="000561CB" w:rsidP="000561CB">
      <w:pPr>
        <w:jc w:val="both"/>
      </w:pPr>
      <w:r>
        <w:t xml:space="preserve"> Overall, trading was almost 5% stronger than a year earlier.</w:t>
      </w:r>
    </w:p>
    <w:p w14:paraId="2E9A0492" w14:textId="15FA0EB6" w:rsidR="000561CB" w:rsidRDefault="000561CB" w:rsidP="000561CB">
      <w:pPr>
        <w:jc w:val="both"/>
      </w:pPr>
      <w:r>
        <w:t xml:space="preserve">Market value as measured by market capitalisation increased by a sizeable 13% in total, with share market capitalisation up 11.5% </w:t>
      </w:r>
      <w:r w:rsidR="009E6A2E">
        <w:t xml:space="preserve">while </w:t>
      </w:r>
      <w:r>
        <w:t>Prime Market trading record</w:t>
      </w:r>
      <w:r w:rsidR="009E6A2E">
        <w:t>ed</w:t>
      </w:r>
      <w:r>
        <w:t xml:space="preserve"> the strongest increase by as much as 70.6%.</w:t>
      </w:r>
    </w:p>
    <w:p w14:paraId="65AE17E0" w14:textId="25AAD8AC" w:rsidR="000561CB" w:rsidRDefault="000561CB" w:rsidP="000561CB">
      <w:pPr>
        <w:jc w:val="both"/>
      </w:pPr>
      <w:r>
        <w:t>Some indices retreated (CROBEXkonstrukt, CROBEXturist and CROBEXtransport) while others advance</w:t>
      </w:r>
      <w:r w:rsidR="009E6A2E">
        <w:t>d</w:t>
      </w:r>
      <w:r>
        <w:t xml:space="preserve"> at a two-digit pace: CROBEXnutris (</w:t>
      </w:r>
      <w:r w:rsidR="009E6A2E">
        <w:t>+</w:t>
      </w:r>
      <w:r>
        <w:t>38.18%)</w:t>
      </w:r>
      <w:r w:rsidR="009E6A2E">
        <w:t xml:space="preserve"> led the way</w:t>
      </w:r>
      <w:r>
        <w:t xml:space="preserve">, with CROBEXtr </w:t>
      </w:r>
      <w:r w:rsidR="009E6A2E">
        <w:t xml:space="preserve"> (+</w:t>
      </w:r>
      <w:r>
        <w:t>19.42%</w:t>
      </w:r>
      <w:r w:rsidR="009E6A2E">
        <w:t>)</w:t>
      </w:r>
      <w:r>
        <w:t xml:space="preserve">, </w:t>
      </w:r>
      <w:r w:rsidR="009E6A2E">
        <w:t xml:space="preserve">which reflects </w:t>
      </w:r>
      <w:r>
        <w:t>an excellent dividend yield, CROBEX10 (+18%), CROBEXplus (+17%), CROBEXprime (+16.42%) and CROBEX (+15.36%) following suit. The new regional ADRIAprime index rose almost 11%.</w:t>
      </w:r>
    </w:p>
    <w:p w14:paraId="62D6C71D" w14:textId="52407BF5" w:rsidR="000561CB" w:rsidRDefault="000561CB" w:rsidP="000561CB">
      <w:pPr>
        <w:jc w:val="both"/>
      </w:pPr>
      <w:r>
        <w:t xml:space="preserve">The most heavily traded shares were those of </w:t>
      </w:r>
      <w:r>
        <w:rPr>
          <w:i/>
        </w:rPr>
        <w:t>Kraš d.d.</w:t>
      </w:r>
      <w:r>
        <w:t xml:space="preserve">, followed by hotelier </w:t>
      </w:r>
      <w:r>
        <w:rPr>
          <w:i/>
        </w:rPr>
        <w:t>Valamar Riviera d.d.</w:t>
      </w:r>
      <w:r>
        <w:t xml:space="preserve"> and </w:t>
      </w:r>
      <w:r>
        <w:rPr>
          <w:i/>
        </w:rPr>
        <w:t xml:space="preserve">Hrvatski Telekom d.d. </w:t>
      </w:r>
      <w:r>
        <w:t>(Croatian Telecom Inc.)</w:t>
      </w:r>
      <w:r w:rsidR="009E6A2E">
        <w:t>.</w:t>
      </w:r>
      <w:r>
        <w:t xml:space="preserve"> </w:t>
      </w:r>
      <w:r w:rsidR="009E6A2E">
        <w:t>A</w:t>
      </w:r>
      <w:r>
        <w:t>pproximatel</w:t>
      </w:r>
      <w:r w:rsidR="009E6A2E">
        <w:t>y one</w:t>
      </w:r>
      <w:r>
        <w:t xml:space="preserve"> half of the turnover </w:t>
      </w:r>
      <w:r w:rsidR="009E6A2E">
        <w:t xml:space="preserve">was </w:t>
      </w:r>
      <w:r>
        <w:t>concentrated in the 10 most liquid shares.</w:t>
      </w:r>
    </w:p>
    <w:p w14:paraId="64A17C19" w14:textId="77777777" w:rsidR="000561CB" w:rsidRDefault="000561CB" w:rsidP="000561CB">
      <w:pPr>
        <w:jc w:val="both"/>
      </w:pPr>
      <w:r>
        <w:t>The year 2019 also saw two new listings (</w:t>
      </w:r>
      <w:r>
        <w:rPr>
          <w:i/>
        </w:rPr>
        <w:t>Meritus ulaganja d.d.</w:t>
      </w:r>
      <w:r>
        <w:t xml:space="preserve"> and </w:t>
      </w:r>
      <w:r>
        <w:rPr>
          <w:i/>
        </w:rPr>
        <w:t>Professio Energia d.d.</w:t>
      </w:r>
      <w:r>
        <w:t xml:space="preserve">) while </w:t>
      </w:r>
      <w:r>
        <w:rPr>
          <w:i/>
        </w:rPr>
        <w:t xml:space="preserve">Valamar Riviera d.d. </w:t>
      </w:r>
      <w:r>
        <w:t>made a transition to the Prime Market, the most demanding market segment.</w:t>
      </w:r>
    </w:p>
    <w:p w14:paraId="2222BFBF" w14:textId="77777777" w:rsidR="00663B62" w:rsidRPr="00266E5B" w:rsidRDefault="00663B62" w:rsidP="00266E5B">
      <w:pPr>
        <w:pStyle w:val="NoSpacing"/>
        <w:jc w:val="both"/>
        <w:rPr>
          <w:sz w:val="20"/>
        </w:rPr>
      </w:pPr>
    </w:p>
    <w:p w14:paraId="2A22D51C" w14:textId="77777777" w:rsidR="008735DF" w:rsidRDefault="008735DF" w:rsidP="00266E5B">
      <w:pPr>
        <w:pStyle w:val="NoSpacing"/>
        <w:jc w:val="both"/>
        <w:rPr>
          <w:sz w:val="20"/>
        </w:rPr>
      </w:pPr>
    </w:p>
    <w:p w14:paraId="15565B08" w14:textId="77777777" w:rsidR="008735DF" w:rsidRDefault="008735DF" w:rsidP="008735DF"/>
    <w:p w14:paraId="2CEEFCCD" w14:textId="77777777" w:rsidR="009C79AD" w:rsidRPr="008735DF" w:rsidRDefault="009C79AD" w:rsidP="008735DF">
      <w:pPr>
        <w:jc w:val="center"/>
      </w:pPr>
    </w:p>
    <w:sectPr w:rsidR="009C79AD" w:rsidRPr="008735D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56713" w14:textId="77777777" w:rsidR="0028073E" w:rsidRDefault="0028073E" w:rsidP="00363A9D">
      <w:pPr>
        <w:spacing w:after="0" w:line="240" w:lineRule="auto"/>
      </w:pPr>
      <w:r>
        <w:separator/>
      </w:r>
    </w:p>
  </w:endnote>
  <w:endnote w:type="continuationSeparator" w:id="0">
    <w:p w14:paraId="58237457" w14:textId="77777777" w:rsidR="0028073E" w:rsidRDefault="0028073E" w:rsidP="00363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35C27" w14:textId="77777777" w:rsidR="008735DF" w:rsidRPr="00854753" w:rsidRDefault="00854753" w:rsidP="00854753">
    <w:pPr>
      <w:pStyle w:val="Footer"/>
      <w:jc w:val="right"/>
      <w:rPr>
        <w:color w:val="5F497A" w:themeColor="accent4" w:themeShade="BF"/>
      </w:rPr>
    </w:pPr>
    <w:r w:rsidRPr="00854753">
      <w:rPr>
        <w:rFonts w:eastAsiaTheme="minorEastAsia"/>
        <w:color w:val="5F497A" w:themeColor="accent4" w:themeShade="BF"/>
        <w:sz w:val="20"/>
        <w:szCs w:val="20"/>
      </w:rPr>
      <w:fldChar w:fldCharType="begin"/>
    </w:r>
    <w:r w:rsidRPr="00854753">
      <w:rPr>
        <w:color w:val="5F497A" w:themeColor="accent4" w:themeShade="BF"/>
        <w:sz w:val="20"/>
        <w:szCs w:val="20"/>
      </w:rPr>
      <w:instrText xml:space="preserve"> PAGE    \* MERGEFORMAT </w:instrText>
    </w:r>
    <w:r w:rsidRPr="00854753">
      <w:rPr>
        <w:rFonts w:eastAsiaTheme="minorEastAsia"/>
        <w:color w:val="5F497A" w:themeColor="accent4" w:themeShade="BF"/>
        <w:sz w:val="20"/>
        <w:szCs w:val="20"/>
      </w:rPr>
      <w:fldChar w:fldCharType="separate"/>
    </w:r>
    <w:r w:rsidR="000561CB" w:rsidRPr="000561CB">
      <w:rPr>
        <w:rFonts w:eastAsiaTheme="majorEastAsia" w:cstheme="majorBidi"/>
        <w:color w:val="5F497A" w:themeColor="accent4" w:themeShade="BF"/>
        <w:sz w:val="20"/>
        <w:szCs w:val="20"/>
      </w:rPr>
      <w:t>1</w:t>
    </w:r>
    <w:r w:rsidRPr="00854753">
      <w:rPr>
        <w:rFonts w:eastAsiaTheme="majorEastAsia" w:cstheme="majorBidi"/>
        <w:color w:val="5F497A" w:themeColor="accent4"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734EC" w14:textId="77777777" w:rsidR="0028073E" w:rsidRDefault="0028073E" w:rsidP="00363A9D">
      <w:pPr>
        <w:spacing w:after="0" w:line="240" w:lineRule="auto"/>
      </w:pPr>
      <w:r>
        <w:separator/>
      </w:r>
    </w:p>
  </w:footnote>
  <w:footnote w:type="continuationSeparator" w:id="0">
    <w:p w14:paraId="3A610962" w14:textId="77777777" w:rsidR="0028073E" w:rsidRDefault="0028073E" w:rsidP="00363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46898" w14:textId="77777777" w:rsidR="00363A9D" w:rsidRDefault="00363A9D" w:rsidP="00363A9D">
    <w:pPr>
      <w:pStyle w:val="Heading3"/>
      <w:tabs>
        <w:tab w:val="right" w:pos="9072"/>
      </w:tabs>
      <w:rPr>
        <w:rFonts w:asciiTheme="minorHAnsi" w:hAnsiTheme="minorHAnsi"/>
        <w:color w:val="5F497A" w:themeColor="accent4" w:themeShade="BF"/>
        <w:spacing w:val="40"/>
      </w:rPr>
    </w:pPr>
  </w:p>
  <w:p w14:paraId="069D61A5" w14:textId="77777777" w:rsidR="00363A9D" w:rsidRPr="00854753" w:rsidRDefault="00363A9D" w:rsidP="00363A9D">
    <w:pPr>
      <w:pStyle w:val="Heading3"/>
      <w:tabs>
        <w:tab w:val="right" w:pos="9072"/>
      </w:tabs>
      <w:rPr>
        <w:rFonts w:asciiTheme="minorHAnsi" w:hAnsiTheme="minorHAnsi"/>
        <w:color w:val="5F497A" w:themeColor="accent4" w:themeShade="BF"/>
        <w:spacing w:val="40"/>
        <w:sz w:val="36"/>
      </w:rPr>
    </w:pPr>
    <w:r>
      <w:rPr>
        <w:rFonts w:asciiTheme="minorHAnsi" w:hAnsiTheme="minorHAnsi"/>
        <w:color w:val="5F497A" w:themeColor="accent4" w:themeShade="BF"/>
        <w:sz w:val="36"/>
      </w:rPr>
      <w:t>ZAGREB STOCK EXCHANGE IN THE YEAR 2019</w:t>
    </w:r>
  </w:p>
  <w:p w14:paraId="5EB7A2EC" w14:textId="77777777" w:rsidR="00363A9D" w:rsidRDefault="00363A9D" w:rsidP="00363A9D"/>
  <w:p w14:paraId="45F2297A" w14:textId="77777777" w:rsidR="00363A9D" w:rsidRDefault="00363A9D" w:rsidP="00363A9D">
    <w:pPr>
      <w:pStyle w:val="Header"/>
      <w:jc w:val="right"/>
    </w:pPr>
  </w:p>
  <w:p w14:paraId="762DFCD1" w14:textId="77777777" w:rsidR="00363A9D" w:rsidRDefault="00363A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9D0"/>
    <w:rsid w:val="000277F1"/>
    <w:rsid w:val="000561CB"/>
    <w:rsid w:val="000F781C"/>
    <w:rsid w:val="001B61E0"/>
    <w:rsid w:val="001F6FBA"/>
    <w:rsid w:val="00266E5B"/>
    <w:rsid w:val="0028073E"/>
    <w:rsid w:val="0030077F"/>
    <w:rsid w:val="00363A9D"/>
    <w:rsid w:val="003D7698"/>
    <w:rsid w:val="004B4E3A"/>
    <w:rsid w:val="00550F08"/>
    <w:rsid w:val="00663B62"/>
    <w:rsid w:val="007744AA"/>
    <w:rsid w:val="00854753"/>
    <w:rsid w:val="008735DF"/>
    <w:rsid w:val="009239D6"/>
    <w:rsid w:val="009C79AD"/>
    <w:rsid w:val="009D141B"/>
    <w:rsid w:val="009E6A2E"/>
    <w:rsid w:val="009F1018"/>
    <w:rsid w:val="00A7726A"/>
    <w:rsid w:val="00B82ADA"/>
    <w:rsid w:val="00BB73B1"/>
    <w:rsid w:val="00C12E22"/>
    <w:rsid w:val="00C33A42"/>
    <w:rsid w:val="00CE08DB"/>
    <w:rsid w:val="00CE1CDA"/>
    <w:rsid w:val="00D54690"/>
    <w:rsid w:val="00E44829"/>
    <w:rsid w:val="00F2371E"/>
    <w:rsid w:val="00F309D0"/>
    <w:rsid w:val="00F816AD"/>
    <w:rsid w:val="00F93460"/>
    <w:rsid w:val="00F947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075F0"/>
  <w15:docId w15:val="{A4B90FBC-0EE2-4909-8666-CB2D87A1F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A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3A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3A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3A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A9D"/>
    <w:rPr>
      <w:rFonts w:ascii="Tahoma" w:hAnsi="Tahoma" w:cs="Tahoma"/>
      <w:sz w:val="16"/>
      <w:szCs w:val="16"/>
    </w:rPr>
  </w:style>
  <w:style w:type="paragraph" w:styleId="Header">
    <w:name w:val="header"/>
    <w:basedOn w:val="Normal"/>
    <w:link w:val="HeaderChar"/>
    <w:uiPriority w:val="99"/>
    <w:unhideWhenUsed/>
    <w:rsid w:val="00363A9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3A9D"/>
  </w:style>
  <w:style w:type="paragraph" w:styleId="Footer">
    <w:name w:val="footer"/>
    <w:basedOn w:val="Normal"/>
    <w:link w:val="FooterChar"/>
    <w:uiPriority w:val="99"/>
    <w:unhideWhenUsed/>
    <w:rsid w:val="00363A9D"/>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3A9D"/>
  </w:style>
  <w:style w:type="character" w:customStyle="1" w:styleId="Heading1Char">
    <w:name w:val="Heading 1 Char"/>
    <w:basedOn w:val="DefaultParagraphFont"/>
    <w:link w:val="Heading1"/>
    <w:uiPriority w:val="9"/>
    <w:rsid w:val="00363A9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63A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63A9D"/>
    <w:rPr>
      <w:rFonts w:asciiTheme="majorHAnsi" w:eastAsiaTheme="majorEastAsia" w:hAnsiTheme="majorHAnsi" w:cstheme="majorBidi"/>
      <w:b/>
      <w:bCs/>
      <w:color w:val="4F81BD" w:themeColor="accent1"/>
    </w:rPr>
  </w:style>
  <w:style w:type="paragraph" w:styleId="NoSpacing">
    <w:name w:val="No Spacing"/>
    <w:uiPriority w:val="1"/>
    <w:qFormat/>
    <w:rsid w:val="00363A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ABF27-6F2D-4936-8AD9-D0604B02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sanda</dc:creator>
  <cp:lastModifiedBy>Kolumbina</cp:lastModifiedBy>
  <cp:revision>16</cp:revision>
  <dcterms:created xsi:type="dcterms:W3CDTF">2020-01-29T11:19:00Z</dcterms:created>
  <dcterms:modified xsi:type="dcterms:W3CDTF">2020-01-29T20:01:00Z</dcterms:modified>
</cp:coreProperties>
</file>