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0965CC" w14:textId="77777777" w:rsidR="00363A9D" w:rsidRPr="009239D6" w:rsidRDefault="00363A9D" w:rsidP="00363A9D">
      <w:pPr>
        <w:pStyle w:val="Heading3"/>
        <w:tabs>
          <w:tab w:val="right" w:pos="9072"/>
        </w:tabs>
        <w:rPr>
          <w:rFonts w:asciiTheme="minorHAnsi" w:hAnsiTheme="minorHAnsi"/>
          <w:color w:val="5F497A" w:themeColor="accent4" w:themeShade="BF"/>
          <w:spacing w:val="40"/>
          <w:sz w:val="28"/>
        </w:rPr>
      </w:pPr>
      <w:r>
        <w:rPr>
          <w:rFonts w:asciiTheme="minorHAnsi" w:hAnsiTheme="minorHAnsi"/>
          <w:color w:val="5F497A" w:themeColor="accent4" w:themeShade="BF"/>
          <w:sz w:val="28"/>
        </w:rPr>
        <w:t>STATEMENT OF THE MANAGEMENT BOARD</w:t>
      </w:r>
    </w:p>
    <w:p w14:paraId="2492EE7F" w14:textId="77777777" w:rsidR="00363A9D" w:rsidRPr="00363A9D" w:rsidRDefault="00363A9D" w:rsidP="00363A9D"/>
    <w:p w14:paraId="33D43822" w14:textId="75CE814C" w:rsidR="009F1018" w:rsidRPr="00043444" w:rsidRDefault="009F1018" w:rsidP="009F1018">
      <w:pPr>
        <w:jc w:val="both"/>
      </w:pPr>
      <w:r>
        <w:t xml:space="preserve">Similarly to a year earlier, the </w:t>
      </w:r>
      <w:r w:rsidR="0083704B">
        <w:t>beginning</w:t>
      </w:r>
      <w:r>
        <w:t xml:space="preserve"> of </w:t>
      </w:r>
      <w:r w:rsidR="0083704B">
        <w:t>2018</w:t>
      </w:r>
      <w:r>
        <w:t xml:space="preserve"> was marked by positive sentiment: total turnover in January was 44.4 % better</w:t>
      </w:r>
      <w:r w:rsidR="00B34E00">
        <w:t xml:space="preserve"> on a monthly level</w:t>
      </w:r>
      <w:r>
        <w:t>, with both market capitalisation and index values on the rise. Thereafter, investor sentiment wavered, but a number of activities were undertaken in a bid to strengthen the local capital market and introduce new products and services, improve the current offering and create some new opportunities for investors as well as issuers.</w:t>
      </w:r>
    </w:p>
    <w:p w14:paraId="6F7A3A74" w14:textId="53B22368" w:rsidR="009F1018" w:rsidRPr="00043444" w:rsidRDefault="009F1018" w:rsidP="009F1018">
      <w:pPr>
        <w:jc w:val="both"/>
      </w:pPr>
      <w:r>
        <w:t xml:space="preserve">Since the launch in September 2016 of </w:t>
      </w:r>
      <w:r>
        <w:rPr>
          <w:b/>
        </w:rPr>
        <w:t>Funderbeam South-East Europe</w:t>
      </w:r>
      <w:r>
        <w:t>, a company in which the Zagreb Stock Exchange holds a 20 % interest, approximately EUR 2.5 mil. in funding has been raised via this global platform for Croatian start-ups and small and medium-sized enterprises.  After the initial investment phase, shares in those companies have also been traded successfully</w:t>
      </w:r>
      <w:r w:rsidR="004F40E0">
        <w:t xml:space="preserve"> by investors</w:t>
      </w:r>
      <w:r>
        <w:t xml:space="preserve"> via the Funderbeam trading platform thanks to an innovative system based on blockchain technology.</w:t>
      </w:r>
    </w:p>
    <w:p w14:paraId="3F2166A2" w14:textId="1CC30348" w:rsidR="009F1018" w:rsidRPr="00043444" w:rsidRDefault="009F1018" w:rsidP="009F1018">
      <w:pPr>
        <w:jc w:val="both"/>
      </w:pPr>
      <w:r>
        <w:t xml:space="preserve">Early October saw the end of the CE Enter, an alternative market established in May 2016 as a continuation of the then outgoing multilateral facility (MTF) managed by the Exchange from the year 2009. </w:t>
      </w:r>
      <w:r w:rsidR="004F40E0">
        <w:t>The Exchange</w:t>
      </w:r>
      <w:r>
        <w:t xml:space="preserve"> now intends to manage an MTF with considerably higher corporate governance and transparency standards, namely the trading platform named </w:t>
      </w:r>
      <w:r>
        <w:rPr>
          <w:b/>
          <w:bCs/>
        </w:rPr>
        <w:t>Progress</w:t>
      </w:r>
      <w:r>
        <w:t>. Th</w:t>
      </w:r>
      <w:r w:rsidR="004F53B0">
        <w:t>e</w:t>
      </w:r>
      <w:r>
        <w:t xml:space="preserve"> process facilitat</w:t>
      </w:r>
      <w:r w:rsidR="004F53B0">
        <w:t>ing th</w:t>
      </w:r>
      <w:r>
        <w:t xml:space="preserve">e fund-raising for SMEs is also strongly supported by the European Union through its regulations, focusing on the platforms such as Progress as a financing model which provides easier access by SMEs to capital they require for further growth and development. In 2018, the first issuer was admitted to trading on the Progress Market, with several other companies also expressing their interest. Over the course of the year, the Progress Market was presented in several Croatian cities through a series of events and activities, addressing the challenges faced by this sector in its search for capital and the way in which the Progress Market can facilitate access to funding to such companies. In addition, Progress ended the year with a total of 20 advisers – 12 for the Croatian and eight for the Slovenian market – whose role it is to provide professional support to candidate companies seeking admission to trading in that </w:t>
      </w:r>
      <w:r w:rsidR="00086D9D">
        <w:t xml:space="preserve">very </w:t>
      </w:r>
      <w:r>
        <w:t>process as well as after the admission to trading. Also, the Croatian Postal Bank (</w:t>
      </w:r>
      <w:proofErr w:type="spellStart"/>
      <w:r>
        <w:rPr>
          <w:i/>
          <w:iCs/>
        </w:rPr>
        <w:t>Hrvatska</w:t>
      </w:r>
      <w:proofErr w:type="spellEnd"/>
      <w:r>
        <w:rPr>
          <w:i/>
          <w:iCs/>
        </w:rPr>
        <w:t xml:space="preserve"> </w:t>
      </w:r>
      <w:proofErr w:type="spellStart"/>
      <w:r>
        <w:rPr>
          <w:i/>
          <w:iCs/>
        </w:rPr>
        <w:t>Poštanska</w:t>
      </w:r>
      <w:proofErr w:type="spellEnd"/>
      <w:r>
        <w:rPr>
          <w:i/>
          <w:iCs/>
        </w:rPr>
        <w:t xml:space="preserve"> Banka, </w:t>
      </w:r>
      <w:proofErr w:type="spellStart"/>
      <w:r>
        <w:rPr>
          <w:i/>
          <w:iCs/>
        </w:rPr>
        <w:t>HPB</w:t>
      </w:r>
      <w:proofErr w:type="spellEnd"/>
      <w:r>
        <w:rPr>
          <w:i/>
          <w:iCs/>
        </w:rPr>
        <w:t xml:space="preserve">) </w:t>
      </w:r>
      <w:r>
        <w:t xml:space="preserve">and </w:t>
      </w:r>
      <w:r w:rsidR="00086D9D">
        <w:t xml:space="preserve">the </w:t>
      </w:r>
      <w:r>
        <w:t>Zagreb</w:t>
      </w:r>
      <w:r w:rsidR="00086D9D">
        <w:t xml:space="preserve"> Stock Exchange</w:t>
      </w:r>
      <w:r>
        <w:t xml:space="preserve"> signed an exclusive Agreement for incentives to SME development and financing via the capital market. The programme in question enables access by small enterprises to capital on the Progress Market through securities issuing with HPB support and advisory services, and cheaper loans and other benefits in their overall financial operations.</w:t>
      </w:r>
    </w:p>
    <w:p w14:paraId="7F6B1D4E" w14:textId="77777777" w:rsidR="009F1018" w:rsidRPr="00043444" w:rsidRDefault="009F1018" w:rsidP="009F1018">
      <w:pPr>
        <w:jc w:val="both"/>
      </w:pPr>
      <w:r>
        <w:rPr>
          <w:b/>
          <w:bCs/>
        </w:rPr>
        <w:t>Funderbeam</w:t>
      </w:r>
      <w:r>
        <w:t xml:space="preserve"> and </w:t>
      </w:r>
      <w:r>
        <w:rPr>
          <w:b/>
          <w:bCs/>
        </w:rPr>
        <w:t>Progress</w:t>
      </w:r>
      <w:r>
        <w:t xml:space="preserve"> projects are part of the development-oriented strategy of the Zagreb Stock Exchange aimed at creating such conditions that will allow companies in all stages of their growth to secure capital necessary for further growth, thus helping to foster a positive environment for enterprises, economic growth and employment.</w:t>
      </w:r>
    </w:p>
    <w:p w14:paraId="4B502BFA" w14:textId="0A0506D4" w:rsidR="009F1018" w:rsidRPr="00043444" w:rsidRDefault="009F1018" w:rsidP="009F1018">
      <w:pPr>
        <w:jc w:val="both"/>
      </w:pPr>
      <w:r>
        <w:lastRenderedPageBreak/>
        <w:t xml:space="preserve">Over the course of the year, the </w:t>
      </w:r>
      <w:r>
        <w:rPr>
          <w:b/>
          <w:bCs/>
        </w:rPr>
        <w:t>ZSE Academy</w:t>
      </w:r>
      <w:r>
        <w:t xml:space="preserve"> has delivered training to a</w:t>
      </w:r>
      <w:r w:rsidR="00C4140E">
        <w:t>pproximately</w:t>
      </w:r>
      <w:r>
        <w:t xml:space="preserve"> 1,000 individuals, of whom around 70 % of participants, primarily higher education and secondary school students, received some form of educat</w:t>
      </w:r>
      <w:r w:rsidR="00C2000E">
        <w:t xml:space="preserve">ional content free of charge. </w:t>
      </w:r>
      <w:r>
        <w:t>Once again, the Academy has taken active part in marking the World and European Money Week – a global event aimed at raising awareness of the importance of financial literacy among young</w:t>
      </w:r>
      <w:r w:rsidR="00C4140E">
        <w:t>er</w:t>
      </w:r>
      <w:r>
        <w:t xml:space="preserve"> generations, involving almost 8 million children and young people. Among other activities</w:t>
      </w:r>
      <w:r w:rsidR="00C4140E" w:rsidRPr="00C4140E">
        <w:t xml:space="preserve"> </w:t>
      </w:r>
      <w:r w:rsidR="00C4140E">
        <w:t>during the Money Week</w:t>
      </w:r>
      <w:r>
        <w:t>, the Academy was visited by more than 200 pupils and students from several Croatian cities as well as from the Netherlands and the United States.</w:t>
      </w:r>
      <w:r w:rsidR="00C4140E">
        <w:t xml:space="preserve"> </w:t>
      </w:r>
      <w:r>
        <w:t xml:space="preserve">More than 7,700 participants have undertaken various educational activities at the Academy since its establishment in 2010, with free training courses provided to some 5,200 of them, predominantly the young. </w:t>
      </w:r>
    </w:p>
    <w:p w14:paraId="5DB3EC5C" w14:textId="77777777" w:rsidR="009F1018" w:rsidRPr="00043444" w:rsidRDefault="009F1018" w:rsidP="009F1018">
      <w:pPr>
        <w:jc w:val="both"/>
      </w:pPr>
      <w:r>
        <w:t xml:space="preserve">For the first time, the Zagreb Stock Exchange joined the global initiative </w:t>
      </w:r>
      <w:r>
        <w:rPr>
          <w:b/>
          <w:bCs/>
        </w:rPr>
        <w:t>Ring the Bell for Gender Diversity</w:t>
      </w:r>
      <w:r>
        <w:t xml:space="preserve"> as one of 60-odd exchanges symbolically ringing the bell for the start of trading on the International Women’s Day in a bid to support the efforts aimed at strengthening the awareness of the role that the business and financial sector may play in contributing to gender diversity as a global sustainable development goal. On the occasion, the start of trading was marked by Finance Minister </w:t>
      </w:r>
      <w:proofErr w:type="spellStart"/>
      <w:r>
        <w:t>Zdravko</w:t>
      </w:r>
      <w:proofErr w:type="spellEnd"/>
      <w:r>
        <w:t xml:space="preserve"> </w:t>
      </w:r>
      <w:proofErr w:type="spellStart"/>
      <w:r>
        <w:t>Marić</w:t>
      </w:r>
      <w:bookmarkStart w:id="0" w:name="_GoBack"/>
      <w:bookmarkEnd w:id="0"/>
      <w:proofErr w:type="spellEnd"/>
      <w:r>
        <w:t>.</w:t>
      </w:r>
    </w:p>
    <w:p w14:paraId="5A7F7DC1" w14:textId="3B4B418B" w:rsidR="009F1018" w:rsidRPr="00043444" w:rsidRDefault="009F1018" w:rsidP="009F1018">
      <w:pPr>
        <w:jc w:val="both"/>
      </w:pPr>
      <w:r>
        <w:t xml:space="preserve">The </w:t>
      </w:r>
      <w:r>
        <w:rPr>
          <w:b/>
          <w:bCs/>
        </w:rPr>
        <w:t>Zagreb Stock Exchange LEI Service</w:t>
      </w:r>
      <w:r>
        <w:t xml:space="preserve">, as one of just 30-odd entities globally accredited for LEI assignment, has reached its 1,000-mark for the LEIs </w:t>
      </w:r>
      <w:r w:rsidR="00C3764D">
        <w:t xml:space="preserve">it </w:t>
      </w:r>
      <w:r>
        <w:t>administer</w:t>
      </w:r>
      <w:r w:rsidR="00C3764D">
        <w:t>s</w:t>
      </w:r>
      <w:r>
        <w:t>. Meanwhile, the Global LEI Foundation has assessed the LEI Service performance with a high score of 99.9</w:t>
      </w:r>
      <w:r w:rsidR="00C4140E">
        <w:t>8</w:t>
      </w:r>
      <w:r>
        <w:t>-100 per cent for service quality.</w:t>
      </w:r>
    </w:p>
    <w:p w14:paraId="68084A60" w14:textId="2DFCC821" w:rsidR="009F1018" w:rsidRPr="00043444" w:rsidRDefault="009F1018" w:rsidP="009F1018">
      <w:pPr>
        <w:jc w:val="both"/>
      </w:pPr>
      <w:r>
        <w:t xml:space="preserve">Work on the development of </w:t>
      </w:r>
      <w:r w:rsidRPr="0087283F">
        <w:rPr>
          <w:b/>
        </w:rPr>
        <w:t>corporate governance</w:t>
      </w:r>
      <w:r>
        <w:t xml:space="preserve"> in Croatia remains a continuous focus of the Exchange, currently the only organisation in the country that systematically and </w:t>
      </w:r>
      <w:proofErr w:type="spellStart"/>
      <w:r>
        <w:t>synergically</w:t>
      </w:r>
      <w:proofErr w:type="spellEnd"/>
      <w:r>
        <w:t xml:space="preserve"> strives for enhancements of the corporate governance culture, financial literacy and relations with investors </w:t>
      </w:r>
      <w:r w:rsidR="00A6623A">
        <w:t xml:space="preserve">investing </w:t>
      </w:r>
      <w:r>
        <w:t>into listed companies. Therefore, the Exchange and the Croatian Financial Services Supervisory Agency, supported by the European Bank for Reconstruction and Development (EBRD), launched a project of revising their joint Code of Corporate Governance. The goal of the project is to strengthen the use of best practices</w:t>
      </w:r>
      <w:r w:rsidR="00244A34">
        <w:t>,</w:t>
      </w:r>
      <w:r w:rsidR="00B3796B">
        <w:t xml:space="preserve"> </w:t>
      </w:r>
      <w:r>
        <w:t xml:space="preserve">optimise company monitoring in the area of corporate governance as well as raise the level of transparency, as an important precondition of capital market development. With technical support of the EBRD, corporate governance education will also be provided through the ZSE Academy to the companies listed on the Zagreb Stock Exchange as part of this project. </w:t>
      </w:r>
    </w:p>
    <w:p w14:paraId="211A28FB" w14:textId="7BE1C455" w:rsidR="009F1018" w:rsidRPr="00043444" w:rsidRDefault="009F1018" w:rsidP="009F1018">
      <w:pPr>
        <w:jc w:val="both"/>
      </w:pPr>
      <w:r>
        <w:t xml:space="preserve">Zagreb was the venue of the fifth annual </w:t>
      </w:r>
      <w:r w:rsidRPr="00B41326">
        <w:rPr>
          <w:b/>
        </w:rPr>
        <w:t>Slovenian and Croatian Investment Days</w:t>
      </w:r>
      <w:r>
        <w:t xml:space="preserve">, at which 11 Croatian and five Slovenian companies held almost 200 meetings with the representatives of 25 investment firms and banks from Croatia, </w:t>
      </w:r>
      <w:r w:rsidR="00006787">
        <w:t xml:space="preserve">the </w:t>
      </w:r>
      <w:r>
        <w:t xml:space="preserve">Czech Republic, Estonia, Great Britain, Hungary and Slovenia. This event is a traditional gathering taking place in Zagreb in May. It was envisaged as a meeting point of Slovenian, Croatian and international investors with prominent Zagreb and Ljubljana Stock Exchange issuers with the aim of providing the opportunity for direct contact through </w:t>
      </w:r>
      <w:r>
        <w:lastRenderedPageBreak/>
        <w:t>a series of one-on-one meetings between companies and investors in a single spot over a short period of time. The Zagreb and the Ljubljana Stock Exchange will continue to pursue individual and joint activities aimed at increasing the interest and bolstering the confidence of both local and foreign investors.</w:t>
      </w:r>
    </w:p>
    <w:p w14:paraId="03A2F270" w14:textId="77777777" w:rsidR="009F1018" w:rsidRPr="00043444" w:rsidRDefault="009F1018" w:rsidP="009F1018">
      <w:pPr>
        <w:jc w:val="both"/>
      </w:pPr>
      <w:r>
        <w:t>The Croatian Financial Services Supervisory Agency (</w:t>
      </w:r>
      <w:proofErr w:type="spellStart"/>
      <w:r>
        <w:t>Hanfa</w:t>
      </w:r>
      <w:proofErr w:type="spellEnd"/>
      <w:r>
        <w:t xml:space="preserve">), the Central Depository and Clearing Company and the Zagreb Stock Exchange held their ninth </w:t>
      </w:r>
      <w:r>
        <w:rPr>
          <w:b/>
          <w:bCs/>
        </w:rPr>
        <w:t>annual education</w:t>
      </w:r>
      <w:r>
        <w:t xml:space="preserve"> round in Zagreb intended for the companies whose shares are listed on the Zagreb Stock Exchange’s regulated market. Each year it gathers around 100 representatives of listed companies which were once again presented with the novelties in the sphere of capital market regulation and other related topics. </w:t>
      </w:r>
    </w:p>
    <w:p w14:paraId="1D3B7095" w14:textId="77777777" w:rsidR="009F1018" w:rsidRPr="00043444" w:rsidRDefault="009F1018" w:rsidP="009F1018">
      <w:pPr>
        <w:jc w:val="both"/>
      </w:pPr>
      <w:r>
        <w:t>In June, the Zagreb Stock Exchange joined the Federation of European Securities Exchanges (FESE) in a bid to be actively involved in formulating the regulations that affect the operation of smaller exchanges.</w:t>
      </w:r>
    </w:p>
    <w:p w14:paraId="0C5AB8F5" w14:textId="77777777" w:rsidR="009F1018" w:rsidRPr="00043444" w:rsidRDefault="009F1018" w:rsidP="009F1018">
      <w:pPr>
        <w:jc w:val="both"/>
      </w:pPr>
      <w:r>
        <w:t xml:space="preserve">The new Exchange Rules amended the listing criteria for the Prime Market, the most demanding market segment of the Zagreb Stock Exchange. The amendments are aimed at ensuring an even higher level of transparency and corporate governance standards to make the Prime Market a role model of best market practices, providing greater recognition among investors to the issuers and to the market as a whole and potentially having a positive impact on share prices and liquidity thanks to an enhanced level of information necessary for investment decision-making. Four issuers were admitted to the Prime Market in 2018: the first was Atlantic </w:t>
      </w:r>
      <w:proofErr w:type="spellStart"/>
      <w:r>
        <w:t>Grupa</w:t>
      </w:r>
      <w:proofErr w:type="spellEnd"/>
      <w:r>
        <w:t xml:space="preserve"> </w:t>
      </w:r>
      <w:proofErr w:type="spellStart"/>
      <w:r>
        <w:t>d.d</w:t>
      </w:r>
      <w:proofErr w:type="spellEnd"/>
      <w:r>
        <w:t xml:space="preserve">., only to be followed by Arena Hospitality Group, AD </w:t>
      </w:r>
      <w:proofErr w:type="spellStart"/>
      <w:r>
        <w:t>Plastik</w:t>
      </w:r>
      <w:proofErr w:type="spellEnd"/>
      <w:r>
        <w:t xml:space="preserve"> </w:t>
      </w:r>
      <w:proofErr w:type="spellStart"/>
      <w:r>
        <w:t>d.d</w:t>
      </w:r>
      <w:proofErr w:type="spellEnd"/>
      <w:r>
        <w:t xml:space="preserve">. and </w:t>
      </w:r>
      <w:proofErr w:type="spellStart"/>
      <w:r>
        <w:t>Podravka</w:t>
      </w:r>
      <w:proofErr w:type="spellEnd"/>
      <w:r>
        <w:t xml:space="preserve"> </w:t>
      </w:r>
      <w:proofErr w:type="spellStart"/>
      <w:r>
        <w:t>d.d</w:t>
      </w:r>
      <w:proofErr w:type="spellEnd"/>
      <w:r>
        <w:t>. by the end of the year.</w:t>
      </w:r>
    </w:p>
    <w:p w14:paraId="0F7644A8" w14:textId="608C9264" w:rsidR="009F1018" w:rsidRPr="00043444" w:rsidRDefault="009F1018" w:rsidP="009F1018">
      <w:pPr>
        <w:jc w:val="both"/>
      </w:pPr>
      <w:r>
        <w:t>The Croatian Banking Association (HUB) and the ZSE Academy recognised the need for business cooperation to provide for specialised training to the employees of HUB’s member banks in the area or investment services and capital market in general. The new capital market legislative framework has focused even more on thorough, standardised and continuous professional development of finance professionals, so that they can provide even better quality service</w:t>
      </w:r>
      <w:r w:rsidR="00FB79A1">
        <w:t>s</w:t>
      </w:r>
      <w:r>
        <w:t xml:space="preserve"> to their clients. Based on its experience in financial education, HUB has chosen the Zagreb Stock Exchange to be a partner to the banking sector through this cooperation as banks </w:t>
      </w:r>
      <w:r w:rsidR="00C75FC4">
        <w:t>st</w:t>
      </w:r>
      <w:r w:rsidR="00642C21">
        <w:t xml:space="preserve">rive to </w:t>
      </w:r>
      <w:r>
        <w:t xml:space="preserve">comply with their legal obligations related to the provision of investment services. Towards the end of the year, </w:t>
      </w:r>
      <w:proofErr w:type="spellStart"/>
      <w:r>
        <w:t>Hanfa</w:t>
      </w:r>
      <w:proofErr w:type="spellEnd"/>
      <w:r>
        <w:t xml:space="preserve"> issued a positive opinion on the Exchange’s educational programmes and examinations in the delivery of training to bank staff for typical conduct/scenarios in the distribution of non-complex financial instruments, in accordance with the provisions of the Ordinance on qualifications and HR requirements for the provision of investment services. </w:t>
      </w:r>
    </w:p>
    <w:p w14:paraId="4734969B" w14:textId="011ED595" w:rsidR="009F1018" w:rsidRPr="00043444" w:rsidRDefault="009F1018" w:rsidP="009F1018">
      <w:pPr>
        <w:jc w:val="both"/>
      </w:pPr>
      <w:r>
        <w:t xml:space="preserve">Early on in the year, </w:t>
      </w:r>
      <w:proofErr w:type="spellStart"/>
      <w:r>
        <w:t>Hanfa</w:t>
      </w:r>
      <w:proofErr w:type="spellEnd"/>
      <w:r>
        <w:t xml:space="preserve"> authorised the new Exchange activity – publication of trade reports on behalf of investment firms as a formal prerequisite for the Exchange to introduce the so-called </w:t>
      </w:r>
      <w:r>
        <w:rPr>
          <w:b/>
          <w:bCs/>
        </w:rPr>
        <w:t>APA service</w:t>
      </w:r>
      <w:r>
        <w:t xml:space="preserve">. </w:t>
      </w:r>
      <w:r w:rsidRPr="00924614">
        <w:t>Said information is</w:t>
      </w:r>
      <w:r>
        <w:t xml:space="preserve"> published via an approved publication arrangement (APA), as required for investment firms by the capital market regulatory framework to improve efficiency, resilience and integrity of financial markets. At the same time, the APA is aimed at improving the quality of trade </w:t>
      </w:r>
      <w:r>
        <w:lastRenderedPageBreak/>
        <w:t xml:space="preserve">transparency information published in the OTC space, thus contributing significantly to ensuring that </w:t>
      </w:r>
      <w:r w:rsidRPr="00924614">
        <w:t>such information is</w:t>
      </w:r>
      <w:r>
        <w:t xml:space="preserve"> published in a way </w:t>
      </w:r>
      <w:r w:rsidR="00C63430">
        <w:t xml:space="preserve">that </w:t>
      </w:r>
      <w:r>
        <w:t>facilitat</w:t>
      </w:r>
      <w:r w:rsidR="00C63430">
        <w:t>es</w:t>
      </w:r>
      <w:r>
        <w:t xml:space="preserve"> its consolidation with other data. The Zagreb Stock Exchange is one of a handful of European exchanges authorised to provide the APA service.</w:t>
      </w:r>
    </w:p>
    <w:p w14:paraId="47828D47" w14:textId="5B1927C5" w:rsidR="009F1018" w:rsidRPr="00043444" w:rsidRDefault="009F1018" w:rsidP="009F1018">
      <w:pPr>
        <w:jc w:val="both"/>
      </w:pPr>
      <w:r>
        <w:t xml:space="preserve">A seventh joint Zagreb Stock Exchange and fund industry </w:t>
      </w:r>
      <w:r>
        <w:rPr>
          <w:b/>
          <w:bCs/>
        </w:rPr>
        <w:t>Challenge of Chang</w:t>
      </w:r>
      <w:r w:rsidR="004E725D">
        <w:rPr>
          <w:b/>
          <w:bCs/>
        </w:rPr>
        <w:t xml:space="preserve">e Conference </w:t>
      </w:r>
      <w:r>
        <w:t xml:space="preserve">was held traditionally in October. As </w:t>
      </w:r>
      <w:r w:rsidR="004358A3">
        <w:t xml:space="preserve">a </w:t>
      </w:r>
      <w:r>
        <w:t>central gathering of the Croatian and regional financial community, this event has brought together almost 30 speakers and some 450 participants from all branches of the financial industry from Croatia, its region and the world. The conference is co-organised by the Zagreb Stock Exchange and the Association of Pension Fund Management and Pension Insurance Companies.</w:t>
      </w:r>
    </w:p>
    <w:p w14:paraId="7672B5E1" w14:textId="77777777" w:rsidR="009F1018" w:rsidRPr="00043444" w:rsidRDefault="009F1018" w:rsidP="009F1018">
      <w:pPr>
        <w:jc w:val="both"/>
      </w:pPr>
      <w:r>
        <w:t xml:space="preserve">November saw the launch of </w:t>
      </w:r>
      <w:proofErr w:type="spellStart"/>
      <w:r>
        <w:rPr>
          <w:b/>
          <w:bCs/>
          <w:i/>
          <w:iCs/>
        </w:rPr>
        <w:t>Burzin</w:t>
      </w:r>
      <w:proofErr w:type="spellEnd"/>
      <w:r>
        <w:rPr>
          <w:b/>
          <w:bCs/>
          <w:i/>
          <w:iCs/>
        </w:rPr>
        <w:t xml:space="preserve"> brief</w:t>
      </w:r>
      <w:r>
        <w:t xml:space="preserve"> (the Exchange brief), a new Zagreb Stock Exchange communication platform, designed as a venue for discussion of crucial topics for the economy of Croatia and the region as well as of important global trends and technological innovations that will form the capital market and affect a wider social context. </w:t>
      </w:r>
      <w:proofErr w:type="spellStart"/>
      <w:r>
        <w:rPr>
          <w:i/>
          <w:iCs/>
        </w:rPr>
        <w:t>Burzin</w:t>
      </w:r>
      <w:proofErr w:type="spellEnd"/>
      <w:r>
        <w:rPr>
          <w:i/>
          <w:iCs/>
        </w:rPr>
        <w:t xml:space="preserve"> brief</w:t>
      </w:r>
      <w:r>
        <w:t xml:space="preserve"> i</w:t>
      </w:r>
      <w:r w:rsidR="00532345">
        <w:t>s available in Croatian on</w:t>
      </w:r>
      <w:r w:rsidR="00532345">
        <w:br/>
      </w:r>
      <w:r>
        <w:t>zse-blog.info and via the Zagreb Stock Exchange website www.zse.hr.</w:t>
      </w:r>
    </w:p>
    <w:p w14:paraId="29B877D1" w14:textId="77777777" w:rsidR="009F1018" w:rsidRPr="00043444" w:rsidRDefault="009F1018" w:rsidP="009F1018">
      <w:pPr>
        <w:jc w:val="both"/>
      </w:pPr>
      <w:r>
        <w:t xml:space="preserve">The </w:t>
      </w:r>
      <w:r w:rsidRPr="000E1C54">
        <w:rPr>
          <w:b/>
        </w:rPr>
        <w:t>Zagreb Stock Exchange Awards</w:t>
      </w:r>
      <w:r>
        <w:t xml:space="preserve"> were presented traditionally in December for the seventh year in a row in a total of seven categories. Statistical criteria as well as the overall contribution to capital market education and development were covered in a bid to strengthen the visibility of the capital market and its active participants among the financial and general public by recognising, supporting and awarding excellence.</w:t>
      </w:r>
    </w:p>
    <w:p w14:paraId="24D9692A" w14:textId="418BE1C8" w:rsidR="009F1018" w:rsidRPr="00043444" w:rsidRDefault="009F1018" w:rsidP="009F1018">
      <w:pPr>
        <w:jc w:val="both"/>
      </w:pPr>
      <w:r>
        <w:t xml:space="preserve">In 2018, the capital market continued to operate in challenging circumstances, </w:t>
      </w:r>
      <w:r w:rsidRPr="00924614">
        <w:t>marke</w:t>
      </w:r>
      <w:r w:rsidR="00410418">
        <w:t>d</w:t>
      </w:r>
      <w:r>
        <w:t xml:space="preserve"> primarily by high regulatory requirements and a specific economic and political environment. Nevertheless, the Zagreb Stock Exchange maintained its position as a regional leader and one of the mechanisms that foster economic growth while also continuing to provide a high quality level of its products and services in order to strengthen the </w:t>
      </w:r>
      <w:r w:rsidR="00E76709">
        <w:t xml:space="preserve">very </w:t>
      </w:r>
      <w:r>
        <w:t>market capacity, meet the needs of its shareholders, investors, issuers, member</w:t>
      </w:r>
      <w:r w:rsidR="00F77DD2">
        <w:t>s,</w:t>
      </w:r>
      <w:r>
        <w:t xml:space="preserve"> and all other stakeholders, </w:t>
      </w:r>
      <w:r w:rsidR="00244A34">
        <w:t xml:space="preserve">and </w:t>
      </w:r>
      <w:r>
        <w:t>raise the transparency level and thus boost the positive impact on investor confidence, liquidity and market value as a whole.</w:t>
      </w:r>
    </w:p>
    <w:p w14:paraId="43A43ABD" w14:textId="77777777" w:rsidR="00363A9D" w:rsidRDefault="00363A9D" w:rsidP="00363A9D"/>
    <w:p w14:paraId="0E6E2D45" w14:textId="77777777" w:rsidR="00663B62" w:rsidRPr="00F816AD" w:rsidRDefault="00663B62" w:rsidP="00663B62">
      <w:pPr>
        <w:pStyle w:val="Heading3"/>
        <w:tabs>
          <w:tab w:val="right" w:pos="9072"/>
        </w:tabs>
        <w:rPr>
          <w:rFonts w:asciiTheme="minorHAnsi" w:hAnsiTheme="minorHAnsi"/>
          <w:color w:val="5F497A" w:themeColor="accent4" w:themeShade="BF"/>
          <w:spacing w:val="40"/>
          <w:sz w:val="28"/>
        </w:rPr>
      </w:pPr>
      <w:r>
        <w:rPr>
          <w:rFonts w:asciiTheme="minorHAnsi" w:hAnsiTheme="minorHAnsi"/>
          <w:color w:val="5F497A" w:themeColor="accent4" w:themeShade="BF"/>
          <w:sz w:val="28"/>
        </w:rPr>
        <w:t>TRADING IN 2018</w:t>
      </w:r>
    </w:p>
    <w:p w14:paraId="33CB63EB" w14:textId="77777777" w:rsidR="00363A9D" w:rsidRDefault="00363A9D" w:rsidP="00363A9D"/>
    <w:p w14:paraId="1CC4FC86" w14:textId="03C4DCA8" w:rsidR="009F1018" w:rsidRPr="00043444" w:rsidRDefault="009F1018" w:rsidP="009F1018">
      <w:pPr>
        <w:jc w:val="both"/>
      </w:pPr>
      <w:r>
        <w:t>The optimistic start of the year and a positive Q4 trend did not suffice, however, to improve statistics overall compared to those of the previous year. With the total turnover in January up 44.4 % on that in December 201</w:t>
      </w:r>
      <w:r w:rsidR="00BF1ABB">
        <w:t>7,</w:t>
      </w:r>
      <w:r>
        <w:t xml:space="preserve"> driv</w:t>
      </w:r>
      <w:r w:rsidR="00BF1ABB">
        <w:t>ing</w:t>
      </w:r>
      <w:r>
        <w:t xml:space="preserve"> both market capitalisation and index values higher, February witnessed a renewed trading suspension of the shares of member companies of the </w:t>
      </w:r>
      <w:proofErr w:type="spellStart"/>
      <w:r>
        <w:t>Agrokor</w:t>
      </w:r>
      <w:proofErr w:type="spellEnd"/>
      <w:r>
        <w:t xml:space="preserve"> concern, so the market plodded on against a backdrop of predominantly negative investor sentiment </w:t>
      </w:r>
      <w:r w:rsidR="00BE4EAC">
        <w:t xml:space="preserve">that was </w:t>
      </w:r>
      <w:r>
        <w:t>not reversed until very late in the year.</w:t>
      </w:r>
    </w:p>
    <w:p w14:paraId="4C186577" w14:textId="77777777" w:rsidR="009F1018" w:rsidRPr="00043444" w:rsidRDefault="009F1018" w:rsidP="009F1018">
      <w:pPr>
        <w:jc w:val="both"/>
      </w:pPr>
      <w:r>
        <w:lastRenderedPageBreak/>
        <w:t>Order book trading turnover in shares shrank 39.8 % against an 86.6 % increase of that in bonds, resulting in a 24.2 % decline in order book trading turnover whereas total turnover ended 22 % lower than in 2017.</w:t>
      </w:r>
    </w:p>
    <w:p w14:paraId="5EF95654" w14:textId="4ED1BEEE" w:rsidR="009F1018" w:rsidRPr="00043444" w:rsidRDefault="009F1018" w:rsidP="009F1018">
      <w:pPr>
        <w:jc w:val="both"/>
      </w:pPr>
      <w:r>
        <w:t xml:space="preserve">While market capitalisation in bonds grew 3 %, market capitalisation in shares declined at a rate of 4 %. Indices closed the year mostly in red: </w:t>
      </w:r>
      <w:proofErr w:type="spellStart"/>
      <w:r>
        <w:t>CROBEXtransport</w:t>
      </w:r>
      <w:proofErr w:type="spellEnd"/>
      <w:r>
        <w:t xml:space="preserve"> suffered the biggest loss (-38.23 %) and </w:t>
      </w:r>
      <w:proofErr w:type="spellStart"/>
      <w:r>
        <w:t>CROBEXnutris</w:t>
      </w:r>
      <w:proofErr w:type="spellEnd"/>
      <w:r>
        <w:t xml:space="preserve"> (6.07 %) was the only index to record growth at an annual level. </w:t>
      </w:r>
    </w:p>
    <w:p w14:paraId="1E71B507" w14:textId="680E582F" w:rsidR="009F1018" w:rsidRPr="00043444" w:rsidRDefault="009F1018" w:rsidP="009F1018">
      <w:pPr>
        <w:jc w:val="both"/>
      </w:pPr>
      <w:r>
        <w:t>CROBEX and CROBEX10 corrected some 5 %, while a drop of 2.8 % in CROBEXtr, which includes dividend payments, testifie</w:t>
      </w:r>
      <w:r w:rsidR="00F47A9C">
        <w:t>d</w:t>
      </w:r>
      <w:r>
        <w:t xml:space="preserve"> to not such a poor year considering the total return on the shares that are index constituents.</w:t>
      </w:r>
    </w:p>
    <w:p w14:paraId="0B3A7F39" w14:textId="77777777" w:rsidR="009F1018" w:rsidRPr="00043444" w:rsidRDefault="009F1018" w:rsidP="009F1018">
      <w:pPr>
        <w:jc w:val="both"/>
      </w:pPr>
      <w:r>
        <w:t xml:space="preserve">Liquidity was for the most part concentrated in a handful of shares, so 10 of them with the highest turnover accounted for roughly 40 % of the total turnover, with </w:t>
      </w:r>
      <w:proofErr w:type="spellStart"/>
      <w:r>
        <w:t>Valamar</w:t>
      </w:r>
      <w:proofErr w:type="spellEnd"/>
      <w:r>
        <w:t xml:space="preserve"> Riviera </w:t>
      </w:r>
      <w:proofErr w:type="spellStart"/>
      <w:r>
        <w:t>d.d</w:t>
      </w:r>
      <w:proofErr w:type="spellEnd"/>
      <w:r>
        <w:t>. as the most actively traded.</w:t>
      </w:r>
    </w:p>
    <w:p w14:paraId="5E2F7197" w14:textId="77777777" w:rsidR="009F1018" w:rsidRDefault="009F1018" w:rsidP="009F1018">
      <w:pPr>
        <w:jc w:val="both"/>
      </w:pPr>
      <w:r>
        <w:t>Taking into account</w:t>
      </w:r>
      <w:r w:rsidR="00846C01">
        <w:t xml:space="preserve"> the fact</w:t>
      </w:r>
      <w:r>
        <w:t xml:space="preserve"> that almost all world markets faced great challenges in 2018 and most ended the year in red, with some major European stock exchange indices recording double-digit annual loss</w:t>
      </w:r>
      <w:r w:rsidR="00EA5005">
        <w:t>es</w:t>
      </w:r>
      <w:r>
        <w:t>, the local capital market may be relatively content with the perfo</w:t>
      </w:r>
      <w:r w:rsidR="00195934">
        <w:t>r</w:t>
      </w:r>
      <w:r>
        <w:t xml:space="preserve">mance in the year behind us. </w:t>
      </w:r>
    </w:p>
    <w:p w14:paraId="5D259D6C" w14:textId="77777777" w:rsidR="00663B62" w:rsidRPr="00266E5B" w:rsidRDefault="00663B62" w:rsidP="00266E5B">
      <w:pPr>
        <w:pStyle w:val="NoSpacing"/>
        <w:jc w:val="both"/>
        <w:rPr>
          <w:sz w:val="20"/>
        </w:rPr>
      </w:pPr>
    </w:p>
    <w:p w14:paraId="071523D6" w14:textId="77777777" w:rsidR="008735DF" w:rsidRDefault="008735DF" w:rsidP="00266E5B">
      <w:pPr>
        <w:pStyle w:val="NoSpacing"/>
        <w:jc w:val="both"/>
        <w:rPr>
          <w:sz w:val="20"/>
        </w:rPr>
      </w:pPr>
    </w:p>
    <w:p w14:paraId="510C75EC" w14:textId="77777777" w:rsidR="008735DF" w:rsidRDefault="008735DF" w:rsidP="008735DF"/>
    <w:p w14:paraId="6614CCE1" w14:textId="77777777" w:rsidR="009C79AD" w:rsidRPr="008735DF" w:rsidRDefault="009C79AD" w:rsidP="008735DF">
      <w:pPr>
        <w:jc w:val="center"/>
      </w:pPr>
    </w:p>
    <w:sectPr w:rsidR="009C79AD" w:rsidRPr="008735DF" w:rsidSect="00060292">
      <w:headerReference w:type="default" r:id="rId8"/>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4A9D41" w15:done="0"/>
  <w15:commentEx w15:paraId="07B995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4A9D41" w16cid:durableId="1FF0569A"/>
  <w16cid:commentId w16cid:paraId="07B9956D" w16cid:durableId="1FF051D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89F37" w14:textId="77777777" w:rsidR="00D57E9F" w:rsidRDefault="00D57E9F" w:rsidP="00363A9D">
      <w:pPr>
        <w:spacing w:after="0" w:line="240" w:lineRule="auto"/>
      </w:pPr>
      <w:r>
        <w:separator/>
      </w:r>
    </w:p>
  </w:endnote>
  <w:endnote w:type="continuationSeparator" w:id="0">
    <w:p w14:paraId="5633B3E3" w14:textId="77777777" w:rsidR="00D57E9F" w:rsidRDefault="00D57E9F" w:rsidP="00363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2D113" w14:textId="77777777" w:rsidR="008735DF" w:rsidRPr="00854753" w:rsidRDefault="00296E5F" w:rsidP="00854753">
    <w:pPr>
      <w:pStyle w:val="Footer"/>
      <w:jc w:val="right"/>
      <w:rPr>
        <w:color w:val="5F497A" w:themeColor="accent4" w:themeShade="BF"/>
      </w:rPr>
    </w:pPr>
    <w:r>
      <w:rPr>
        <w:noProof/>
        <w:color w:val="5F497A" w:themeColor="accent4" w:themeShade="BF"/>
      </w:rPr>
      <w:pict w14:anchorId="4CC1D43D">
        <v:rect id="Rectangle 40" o:spid="_x0000_s2049" style="position:absolute;left:0;text-align:left;margin-left:0;margin-top:0;width:579.9pt;height:750.3pt;z-index:251660288;visibility:visible;mso-width-percent:950;mso-height-percent:950;mso-position-horizontal:center;mso-position-horizontal-relative:page;mso-position-vertical:center;mso-position-vertical-relative:page;mso-width-percent:950;mso-height-percent:9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Sg8pAIAALUFAAAOAAAAZHJzL2Uyb0RvYy54bWysVFFv2yAQfp+0/4B4X+2kSdNGcaooVadJ&#10;XVu1nfpMMMSWgGNA4mS/fgd2nKiL9jDtxQbu7vu4j7ub3e60IlvhfA2moIOLnBJhOJS1WRf0x9v9&#10;l2tKfGCmZAqMKOheeHo7//xp1tipGEIFqhSOIIjx08YWtArBTrPM80po5i/ACoNGCU6zgFu3zkrH&#10;GkTXKhvm+VXWgCutAy68x9O71kjnCV9KwcOTlF4EogqKdwvp69J3Fb/ZfMama8dsVfPuGuwfbqFZ&#10;bZC0h7pjgZGNq/+A0jV34EGGCw46AylrLlIOmM0g/5DNa8WsSLmgON72Mvn/B8sft8+O1GVBRyiP&#10;YRrf6AVVY2atBMEzFKixfop+r/bZdTuPy5jtTjod/5gH2SVR972oYhcIx8PJ5dVocongHG034+H1&#10;9SChZsdw63z4KkCTuCioQ/4kJts++ICU6HpwiWwG7mul0sspQxosu5t8nKcID6ouozX6pSISS+XI&#10;luHzr9aD5KM2+juU7dlknOeH2/TuifAECemVwcOoQ5t5WoW9EpFGmRchUULMddheIhbvkZdxLkxo&#10;uX3FStFSR+bz1AkwIktMpMfuAM5jtyJ1/jFUpNrvgzt1/hbcRyRmMKEP1rUBdy4zhVl1zK3/QaRW&#10;mqjSCso9FpiDtvO85fc1PvID8+GZOWw1LAwcH+EJP1IBPiZ0K0oqcL/OnUd/7AC0UtJg6xbU/9ww&#10;JyhR3wz2xs1gFIs5pM1oPBnixp1aVqcWs9FLwPIY4KCyPC2jf1CHpXSg33HKLCIrmpjhyF1QHtxh&#10;swztSME5xcVikdywvy0LD+bV8ggeVY1F/LZ7Z852lR6wSR7h0OZs+qHgW98YaWCxCSDr1A1HXTu9&#10;cTakmu3mWBw+p/vkdZy2898AAAD//wMAUEsDBBQABgAIAAAAIQBzs5v42QAAAAcBAAAPAAAAZHJz&#10;L2Rvd25yZXYueG1sTI9Bb8IwDIXvSPyHyJN2gxRQEeuaIsTU8zTGOIfGa6o1TpUE6P79zC7bxbL1&#10;rPe+V25H14srhth5UrCYZyCQGm86ahUc3+vZBkRMmozuPaGCb4ywraaTUhfG3+gNr4fUCjahWGgF&#10;NqWhkDI2Fp2Ocz8gsfbpg9OJz9BKE/SNzV0vl1m2lk53xAlWD7i32HwdLk7BS6CwGnd1qk/rj9yv&#10;lm5jX09KPT6Mu2cQCcf09wx3fEaHipnO/kImil4BF0m/864t8ifuceYt51CQVSn/81c/AAAA//8D&#10;AFBLAQItABQABgAIAAAAIQC2gziS/gAAAOEBAAATAAAAAAAAAAAAAAAAAAAAAABbQ29udGVudF9U&#10;eXBlc10ueG1sUEsBAi0AFAAGAAgAAAAhADj9If/WAAAAlAEAAAsAAAAAAAAAAAAAAAAALwEAAF9y&#10;ZWxzLy5yZWxzUEsBAi0AFAAGAAgAAAAhAMYFKDykAgAAtQUAAA4AAAAAAAAAAAAAAAAALgIAAGRy&#10;cy9lMm9Eb2MueG1sUEsBAi0AFAAGAAgAAAAhAHOzm/jZAAAABwEAAA8AAAAAAAAAAAAAAAAA/gQA&#10;AGRycy9kb3ducmV2LnhtbFBLBQYAAAAABAAEAPMAAAAEBgAAAAA=&#10;" filled="f" strokecolor="#bfbfbf [2412]" strokeweight="1.5pt">
          <w10:wrap anchorx="page" anchory="page"/>
        </v:rect>
      </w:pict>
    </w:r>
    <w:r w:rsidR="00060292" w:rsidRPr="00854753">
      <w:rPr>
        <w:rFonts w:eastAsiaTheme="minorEastAsia"/>
        <w:color w:val="5F497A" w:themeColor="accent4" w:themeShade="BF"/>
        <w:sz w:val="20"/>
        <w:szCs w:val="20"/>
      </w:rPr>
      <w:fldChar w:fldCharType="begin"/>
    </w:r>
    <w:r w:rsidR="00854753" w:rsidRPr="00854753">
      <w:rPr>
        <w:color w:val="5F497A" w:themeColor="accent4" w:themeShade="BF"/>
        <w:sz w:val="20"/>
        <w:szCs w:val="20"/>
      </w:rPr>
      <w:instrText xml:space="preserve"> PAGE    \* MERGEFORMAT </w:instrText>
    </w:r>
    <w:r w:rsidR="00060292" w:rsidRPr="00854753">
      <w:rPr>
        <w:rFonts w:eastAsiaTheme="minorEastAsia"/>
        <w:color w:val="5F497A" w:themeColor="accent4" w:themeShade="BF"/>
        <w:sz w:val="20"/>
        <w:szCs w:val="20"/>
      </w:rPr>
      <w:fldChar w:fldCharType="separate"/>
    </w:r>
    <w:r w:rsidRPr="00296E5F">
      <w:rPr>
        <w:rFonts w:eastAsiaTheme="majorEastAsia" w:cstheme="majorBidi"/>
        <w:noProof/>
        <w:color w:val="5F497A" w:themeColor="accent4" w:themeShade="BF"/>
        <w:sz w:val="20"/>
        <w:szCs w:val="20"/>
      </w:rPr>
      <w:t>5</w:t>
    </w:r>
    <w:r w:rsidR="00060292" w:rsidRPr="00854753">
      <w:rPr>
        <w:rFonts w:eastAsiaTheme="majorEastAsia" w:cstheme="majorBidi"/>
        <w:color w:val="5F497A" w:themeColor="accent4" w:themeShade="B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F3C54" w14:textId="77777777" w:rsidR="00D57E9F" w:rsidRDefault="00D57E9F" w:rsidP="00363A9D">
      <w:pPr>
        <w:spacing w:after="0" w:line="240" w:lineRule="auto"/>
      </w:pPr>
      <w:r>
        <w:separator/>
      </w:r>
    </w:p>
  </w:footnote>
  <w:footnote w:type="continuationSeparator" w:id="0">
    <w:p w14:paraId="2F904B44" w14:textId="77777777" w:rsidR="00D57E9F" w:rsidRDefault="00D57E9F" w:rsidP="00363A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C40804" w14:textId="77777777" w:rsidR="00363A9D" w:rsidRDefault="00363A9D" w:rsidP="00363A9D">
    <w:pPr>
      <w:pStyle w:val="Heading3"/>
      <w:tabs>
        <w:tab w:val="right" w:pos="9072"/>
      </w:tabs>
      <w:rPr>
        <w:rFonts w:asciiTheme="minorHAnsi" w:hAnsiTheme="minorHAnsi"/>
        <w:color w:val="5F497A" w:themeColor="accent4" w:themeShade="BF"/>
        <w:spacing w:val="40"/>
      </w:rPr>
    </w:pPr>
    <w:r>
      <w:rPr>
        <w:rFonts w:asciiTheme="minorHAnsi" w:hAnsiTheme="minorHAnsi"/>
        <w:noProof/>
        <w:color w:val="5F497A" w:themeColor="accent4" w:themeShade="BF"/>
        <w:lang w:val="hr-HR" w:eastAsia="hr-HR"/>
      </w:rPr>
      <w:drawing>
        <wp:anchor distT="0" distB="0" distL="114300" distR="114300" simplePos="0" relativeHeight="251658240" behindDoc="1" locked="0" layoutInCell="1" allowOverlap="1" wp14:anchorId="17F03F50" wp14:editId="76B9B0D5">
          <wp:simplePos x="0" y="0"/>
          <wp:positionH relativeFrom="column">
            <wp:posOffset>4919980</wp:posOffset>
          </wp:positionH>
          <wp:positionV relativeFrom="paragraph">
            <wp:posOffset>157480</wp:posOffset>
          </wp:positionV>
          <wp:extent cx="1038225" cy="1028700"/>
          <wp:effectExtent l="0" t="0" r="9525" b="0"/>
          <wp:wrapTight wrapText="bothSides">
            <wp:wrapPolygon edited="0">
              <wp:start x="0" y="0"/>
              <wp:lineTo x="0" y="21200"/>
              <wp:lineTo x="21402" y="21200"/>
              <wp:lineTo x="2140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grebacka-burza---logo-vertikalno.jpg"/>
                  <pic:cNvPicPr/>
                </pic:nvPicPr>
                <pic:blipFill rotWithShape="1">
                  <a:blip r:embed="rId1" cstate="print">
                    <a:extLst>
                      <a:ext uri="{28A0092B-C50C-407E-A947-70E740481C1C}">
                        <a14:useLocalDpi xmlns:a14="http://schemas.microsoft.com/office/drawing/2010/main" val="0"/>
                      </a:ext>
                    </a:extLst>
                  </a:blip>
                  <a:srcRect l="15000" t="16249" r="13125" b="12501"/>
                  <a:stretch/>
                </pic:blipFill>
                <pic:spPr bwMode="auto">
                  <a:xfrm>
                    <a:off x="0" y="0"/>
                    <a:ext cx="1038225" cy="1028700"/>
                  </a:xfrm>
                  <a:prstGeom prst="rect">
                    <a:avLst/>
                  </a:prstGeom>
                  <a:ln>
                    <a:noFill/>
                  </a:ln>
                  <a:extLst>
                    <a:ext uri="{53640926-AAD7-44D8-BBD7-CCE9431645EC}">
                      <a14:shadowObscured xmlns:a14="http://schemas.microsoft.com/office/drawing/2010/main"/>
                    </a:ext>
                  </a:extLst>
                </pic:spPr>
              </pic:pic>
            </a:graphicData>
          </a:graphic>
        </wp:anchor>
      </w:drawing>
    </w:r>
  </w:p>
  <w:p w14:paraId="7774524C" w14:textId="77777777" w:rsidR="00363A9D" w:rsidRPr="00854753" w:rsidRDefault="00363A9D" w:rsidP="00363A9D">
    <w:pPr>
      <w:pStyle w:val="Heading3"/>
      <w:tabs>
        <w:tab w:val="right" w:pos="9072"/>
      </w:tabs>
      <w:rPr>
        <w:rFonts w:asciiTheme="minorHAnsi" w:hAnsiTheme="minorHAnsi"/>
        <w:color w:val="5F497A" w:themeColor="accent4" w:themeShade="BF"/>
        <w:spacing w:val="40"/>
        <w:sz w:val="36"/>
      </w:rPr>
    </w:pPr>
    <w:r>
      <w:rPr>
        <w:rFonts w:asciiTheme="minorHAnsi" w:hAnsiTheme="minorHAnsi"/>
        <w:color w:val="5F497A" w:themeColor="accent4" w:themeShade="BF"/>
        <w:sz w:val="36"/>
      </w:rPr>
      <w:t>ZAGREB STOCK EXCHANGE IN THE YEAR 2018</w:t>
    </w:r>
  </w:p>
  <w:p w14:paraId="44862D70" w14:textId="77777777" w:rsidR="00363A9D" w:rsidRDefault="00363A9D" w:rsidP="00363A9D"/>
  <w:p w14:paraId="6A89F707" w14:textId="77777777" w:rsidR="00363A9D" w:rsidRDefault="00363A9D" w:rsidP="00363A9D">
    <w:pPr>
      <w:pStyle w:val="Header"/>
      <w:jc w:val="right"/>
    </w:pPr>
  </w:p>
  <w:p w14:paraId="49D6C379" w14:textId="77777777" w:rsidR="00363A9D" w:rsidRDefault="00363A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umbina">
    <w15:presenceInfo w15:providerId="None" w15:userId="Kolumb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309D0"/>
    <w:rsid w:val="00006787"/>
    <w:rsid w:val="00060292"/>
    <w:rsid w:val="00086D9D"/>
    <w:rsid w:val="000E00CE"/>
    <w:rsid w:val="000E1C54"/>
    <w:rsid w:val="00195934"/>
    <w:rsid w:val="001F6FBA"/>
    <w:rsid w:val="00241A57"/>
    <w:rsid w:val="00244A34"/>
    <w:rsid w:val="00266E5B"/>
    <w:rsid w:val="00296E5F"/>
    <w:rsid w:val="002A2BBF"/>
    <w:rsid w:val="0030077F"/>
    <w:rsid w:val="00363A9D"/>
    <w:rsid w:val="003B019F"/>
    <w:rsid w:val="00410418"/>
    <w:rsid w:val="004358A3"/>
    <w:rsid w:val="004E725D"/>
    <w:rsid w:val="004F40E0"/>
    <w:rsid w:val="004F53B0"/>
    <w:rsid w:val="00532345"/>
    <w:rsid w:val="00642C21"/>
    <w:rsid w:val="00663B62"/>
    <w:rsid w:val="00700A0B"/>
    <w:rsid w:val="00823ED8"/>
    <w:rsid w:val="0083704B"/>
    <w:rsid w:val="00846C01"/>
    <w:rsid w:val="00854753"/>
    <w:rsid w:val="0087283F"/>
    <w:rsid w:val="008735DF"/>
    <w:rsid w:val="008A67D4"/>
    <w:rsid w:val="008D649C"/>
    <w:rsid w:val="009140CA"/>
    <w:rsid w:val="009239D6"/>
    <w:rsid w:val="00924614"/>
    <w:rsid w:val="009C79AD"/>
    <w:rsid w:val="009E267F"/>
    <w:rsid w:val="009F1018"/>
    <w:rsid w:val="00A6623A"/>
    <w:rsid w:val="00A7726A"/>
    <w:rsid w:val="00AB4DB8"/>
    <w:rsid w:val="00AC719C"/>
    <w:rsid w:val="00B34E00"/>
    <w:rsid w:val="00B3796B"/>
    <w:rsid w:val="00B41326"/>
    <w:rsid w:val="00BB73B1"/>
    <w:rsid w:val="00BE4EAC"/>
    <w:rsid w:val="00BF1ABB"/>
    <w:rsid w:val="00C2000E"/>
    <w:rsid w:val="00C3764D"/>
    <w:rsid w:val="00C4140E"/>
    <w:rsid w:val="00C63430"/>
    <w:rsid w:val="00C75FC4"/>
    <w:rsid w:val="00CE08DB"/>
    <w:rsid w:val="00D57E9F"/>
    <w:rsid w:val="00E55C69"/>
    <w:rsid w:val="00E76709"/>
    <w:rsid w:val="00EA5005"/>
    <w:rsid w:val="00ED0207"/>
    <w:rsid w:val="00F309D0"/>
    <w:rsid w:val="00F47A9C"/>
    <w:rsid w:val="00F77DD2"/>
    <w:rsid w:val="00F816AD"/>
    <w:rsid w:val="00FB79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F604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292"/>
  </w:style>
  <w:style w:type="paragraph" w:styleId="Heading1">
    <w:name w:val="heading 1"/>
    <w:basedOn w:val="Normal"/>
    <w:next w:val="Normal"/>
    <w:link w:val="Heading1Char"/>
    <w:uiPriority w:val="9"/>
    <w:qFormat/>
    <w:rsid w:val="00363A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63A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3A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3A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3A9D"/>
    <w:rPr>
      <w:rFonts w:ascii="Tahoma" w:hAnsi="Tahoma" w:cs="Tahoma"/>
      <w:sz w:val="16"/>
      <w:szCs w:val="16"/>
    </w:rPr>
  </w:style>
  <w:style w:type="paragraph" w:styleId="Header">
    <w:name w:val="header"/>
    <w:basedOn w:val="Normal"/>
    <w:link w:val="HeaderChar"/>
    <w:uiPriority w:val="99"/>
    <w:unhideWhenUsed/>
    <w:rsid w:val="00363A9D"/>
    <w:pPr>
      <w:tabs>
        <w:tab w:val="center" w:pos="4536"/>
        <w:tab w:val="right" w:pos="9072"/>
      </w:tabs>
      <w:spacing w:after="0" w:line="240" w:lineRule="auto"/>
    </w:pPr>
  </w:style>
  <w:style w:type="character" w:customStyle="1" w:styleId="HeaderChar">
    <w:name w:val="Header Char"/>
    <w:basedOn w:val="DefaultParagraphFont"/>
    <w:link w:val="Header"/>
    <w:uiPriority w:val="99"/>
    <w:rsid w:val="00363A9D"/>
  </w:style>
  <w:style w:type="paragraph" w:styleId="Footer">
    <w:name w:val="footer"/>
    <w:basedOn w:val="Normal"/>
    <w:link w:val="FooterChar"/>
    <w:uiPriority w:val="99"/>
    <w:unhideWhenUsed/>
    <w:rsid w:val="00363A9D"/>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3A9D"/>
  </w:style>
  <w:style w:type="character" w:customStyle="1" w:styleId="Heading1Char">
    <w:name w:val="Heading 1 Char"/>
    <w:basedOn w:val="DefaultParagraphFont"/>
    <w:link w:val="Heading1"/>
    <w:uiPriority w:val="9"/>
    <w:rsid w:val="00363A9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63A9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63A9D"/>
    <w:rPr>
      <w:rFonts w:asciiTheme="majorHAnsi" w:eastAsiaTheme="majorEastAsia" w:hAnsiTheme="majorHAnsi" w:cstheme="majorBidi"/>
      <w:b/>
      <w:bCs/>
      <w:color w:val="4F81BD" w:themeColor="accent1"/>
    </w:rPr>
  </w:style>
  <w:style w:type="paragraph" w:styleId="NoSpacing">
    <w:name w:val="No Spacing"/>
    <w:uiPriority w:val="1"/>
    <w:qFormat/>
    <w:rsid w:val="00363A9D"/>
    <w:pPr>
      <w:spacing w:after="0" w:line="240" w:lineRule="auto"/>
    </w:pPr>
  </w:style>
  <w:style w:type="character" w:styleId="CommentReference">
    <w:name w:val="annotation reference"/>
    <w:basedOn w:val="DefaultParagraphFont"/>
    <w:uiPriority w:val="99"/>
    <w:semiHidden/>
    <w:unhideWhenUsed/>
    <w:rsid w:val="00E55C69"/>
    <w:rPr>
      <w:sz w:val="16"/>
      <w:szCs w:val="16"/>
    </w:rPr>
  </w:style>
  <w:style w:type="paragraph" w:styleId="CommentText">
    <w:name w:val="annotation text"/>
    <w:basedOn w:val="Normal"/>
    <w:link w:val="CommentTextChar"/>
    <w:uiPriority w:val="99"/>
    <w:semiHidden/>
    <w:unhideWhenUsed/>
    <w:rsid w:val="00E55C69"/>
    <w:pPr>
      <w:spacing w:line="240" w:lineRule="auto"/>
    </w:pPr>
    <w:rPr>
      <w:sz w:val="20"/>
      <w:szCs w:val="20"/>
    </w:rPr>
  </w:style>
  <w:style w:type="character" w:customStyle="1" w:styleId="CommentTextChar">
    <w:name w:val="Comment Text Char"/>
    <w:basedOn w:val="DefaultParagraphFont"/>
    <w:link w:val="CommentText"/>
    <w:uiPriority w:val="99"/>
    <w:semiHidden/>
    <w:rsid w:val="00E55C69"/>
    <w:rPr>
      <w:sz w:val="20"/>
      <w:szCs w:val="20"/>
    </w:rPr>
  </w:style>
  <w:style w:type="paragraph" w:styleId="CommentSubject">
    <w:name w:val="annotation subject"/>
    <w:basedOn w:val="CommentText"/>
    <w:next w:val="CommentText"/>
    <w:link w:val="CommentSubjectChar"/>
    <w:uiPriority w:val="99"/>
    <w:semiHidden/>
    <w:unhideWhenUsed/>
    <w:rsid w:val="00E55C69"/>
    <w:rPr>
      <w:b/>
      <w:bCs/>
    </w:rPr>
  </w:style>
  <w:style w:type="character" w:customStyle="1" w:styleId="CommentSubjectChar">
    <w:name w:val="Comment Subject Char"/>
    <w:basedOn w:val="CommentTextChar"/>
    <w:link w:val="CommentSubject"/>
    <w:uiPriority w:val="99"/>
    <w:semiHidden/>
    <w:rsid w:val="00E55C69"/>
    <w:rPr>
      <w:b/>
      <w:bCs/>
      <w:sz w:val="20"/>
      <w:szCs w:val="20"/>
    </w:rPr>
  </w:style>
  <w:style w:type="paragraph" w:styleId="Revision">
    <w:name w:val="Revision"/>
    <w:hidden/>
    <w:uiPriority w:val="99"/>
    <w:semiHidden/>
    <w:rsid w:val="00E55C6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0B844-C533-4A60-AE84-CD639A932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5</Pages>
  <Words>2079</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sanda</dc:creator>
  <cp:keywords/>
  <dc:description/>
  <cp:lastModifiedBy>sanda</cp:lastModifiedBy>
  <cp:revision>41</cp:revision>
  <dcterms:created xsi:type="dcterms:W3CDTF">2018-01-08T11:29:00Z</dcterms:created>
  <dcterms:modified xsi:type="dcterms:W3CDTF">2019-02-01T14:43:00Z</dcterms:modified>
</cp:coreProperties>
</file>