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E69383" w14:textId="77777777" w:rsidR="00363A9D" w:rsidRPr="009239D6" w:rsidRDefault="00363A9D" w:rsidP="00363A9D">
      <w:pPr>
        <w:pStyle w:val="Heading3"/>
        <w:tabs>
          <w:tab w:val="right" w:pos="9072"/>
        </w:tabs>
        <w:rPr>
          <w:rFonts w:asciiTheme="minorHAnsi" w:hAnsiTheme="minorHAnsi"/>
          <w:color w:val="5F497A" w:themeColor="accent4" w:themeShade="BF"/>
          <w:spacing w:val="40"/>
          <w:sz w:val="28"/>
        </w:rPr>
      </w:pPr>
      <w:r>
        <w:rPr>
          <w:rFonts w:asciiTheme="minorHAnsi" w:hAnsiTheme="minorHAnsi"/>
          <w:color w:val="5F497A" w:themeColor="accent4" w:themeShade="BF"/>
          <w:spacing w:val="40"/>
          <w:sz w:val="28"/>
        </w:rPr>
        <w:t>STATEMENT OF THE MANAGEMENT BOARD</w:t>
      </w:r>
    </w:p>
    <w:p w14:paraId="57B5FD41" w14:textId="77777777" w:rsidR="00363A9D" w:rsidRPr="00363A9D" w:rsidRDefault="00363A9D" w:rsidP="00363A9D"/>
    <w:p w14:paraId="7BC17968" w14:textId="77777777" w:rsidR="00363A9D" w:rsidRDefault="00363A9D" w:rsidP="00363A9D">
      <w:pPr>
        <w:pStyle w:val="NoSpacing"/>
        <w:jc w:val="both"/>
        <w:rPr>
          <w:sz w:val="20"/>
        </w:rPr>
      </w:pPr>
      <w:r>
        <w:rPr>
          <w:sz w:val="20"/>
        </w:rPr>
        <w:t xml:space="preserve">The year 2017 on the Zagreb Stock Exchange </w:t>
      </w:r>
      <w:r w:rsidR="00EE4D0B">
        <w:rPr>
          <w:sz w:val="20"/>
        </w:rPr>
        <w:t xml:space="preserve">began on </w:t>
      </w:r>
      <w:r w:rsidRPr="00845145">
        <w:rPr>
          <w:sz w:val="20"/>
        </w:rPr>
        <w:t>an</w:t>
      </w:r>
      <w:r>
        <w:rPr>
          <w:sz w:val="20"/>
        </w:rPr>
        <w:t xml:space="preserve"> optimistic note, with the CROBEX index climbing to the levels unseen for five years at one point. While unfavourable circumstances slowed down the upward trend further on in the year, it was still marked by several significant events and major projects.</w:t>
      </w:r>
    </w:p>
    <w:p w14:paraId="485B7FF8" w14:textId="77777777" w:rsidR="00363A9D" w:rsidRPr="00363A9D" w:rsidRDefault="00363A9D" w:rsidP="00363A9D">
      <w:pPr>
        <w:pStyle w:val="NoSpacing"/>
        <w:jc w:val="both"/>
        <w:rPr>
          <w:sz w:val="20"/>
        </w:rPr>
      </w:pPr>
    </w:p>
    <w:p w14:paraId="79492A3A" w14:textId="77777777" w:rsidR="00363A9D" w:rsidRPr="00363A9D" w:rsidRDefault="00363A9D" w:rsidP="00363A9D">
      <w:pPr>
        <w:pStyle w:val="NoSpacing"/>
        <w:jc w:val="both"/>
        <w:rPr>
          <w:sz w:val="20"/>
        </w:rPr>
      </w:pPr>
      <w:r w:rsidRPr="00845145">
        <w:rPr>
          <w:sz w:val="20"/>
        </w:rPr>
        <w:t>September 2016 had seen</w:t>
      </w:r>
      <w:r>
        <w:rPr>
          <w:sz w:val="20"/>
        </w:rPr>
        <w:t xml:space="preserve"> the establishment of </w:t>
      </w:r>
      <w:r>
        <w:rPr>
          <w:b/>
          <w:sz w:val="20"/>
        </w:rPr>
        <w:t>Funderbeam South-East Europe</w:t>
      </w:r>
      <w:r>
        <w:rPr>
          <w:sz w:val="20"/>
        </w:rPr>
        <w:t xml:space="preserve"> (abbreviated as: Funderbeam SEE), a company with its registered office in Zagreb, in which the Zagreb Stock Exchange has a 20 % share and which is supported by the European Bank for Reconstruction and Development through its Shareholders Special Fund. Funderbeam is a global platform enabling start-ups to raise funding and investors to trade in their shares after the initial investment phase thanks to an innovative system, based on blockchain technology. In just 10 months of 2017, more than EUR 2 million in capital was raised for Croatian start-ups in four campaigns via the Funderbeam SEE, and Funderbeam platform has also been used for successful trading. </w:t>
      </w:r>
    </w:p>
    <w:p w14:paraId="06E5EACF" w14:textId="77777777" w:rsidR="00363A9D" w:rsidRPr="00363A9D" w:rsidRDefault="00363A9D" w:rsidP="00363A9D">
      <w:pPr>
        <w:pStyle w:val="NoSpacing"/>
        <w:jc w:val="both"/>
        <w:rPr>
          <w:sz w:val="20"/>
        </w:rPr>
      </w:pPr>
    </w:p>
    <w:p w14:paraId="3D6DC4DE" w14:textId="77777777" w:rsidR="00363A9D" w:rsidRPr="00363A9D" w:rsidRDefault="00363A9D" w:rsidP="00363A9D">
      <w:pPr>
        <w:pStyle w:val="NoSpacing"/>
        <w:jc w:val="both"/>
        <w:rPr>
          <w:sz w:val="20"/>
        </w:rPr>
      </w:pPr>
      <w:r>
        <w:rPr>
          <w:sz w:val="20"/>
        </w:rPr>
        <w:t>In mid-February, the Zagreb Stock Exchange signed a Memorandum of Understanding with the Taipei Exchange – TPEx. The importance of cooperation in the process of SME market development was especially emphasised in mutual co</w:t>
      </w:r>
      <w:r w:rsidR="00EE4D0B">
        <w:rPr>
          <w:sz w:val="20"/>
        </w:rPr>
        <w:t>mmunic</w:t>
      </w:r>
      <w:r>
        <w:rPr>
          <w:sz w:val="20"/>
        </w:rPr>
        <w:t xml:space="preserve">ation. </w:t>
      </w:r>
      <w:r w:rsidR="00EE4D0B">
        <w:rPr>
          <w:sz w:val="20"/>
        </w:rPr>
        <w:t xml:space="preserve">The </w:t>
      </w:r>
      <w:r>
        <w:rPr>
          <w:sz w:val="20"/>
        </w:rPr>
        <w:t>Taipei Exchange</w:t>
      </w:r>
      <w:r w:rsidR="00EE4D0B">
        <w:rPr>
          <w:sz w:val="20"/>
        </w:rPr>
        <w:t>,</w:t>
      </w:r>
      <w:r>
        <w:rPr>
          <w:sz w:val="20"/>
        </w:rPr>
        <w:t xml:space="preserve"> founded in 1994</w:t>
      </w:r>
      <w:r w:rsidR="00EE4D0B">
        <w:rPr>
          <w:sz w:val="20"/>
        </w:rPr>
        <w:t>,</w:t>
      </w:r>
      <w:r>
        <w:rPr>
          <w:sz w:val="20"/>
        </w:rPr>
        <w:t xml:space="preserve"> </w:t>
      </w:r>
      <w:r w:rsidR="00EE4D0B">
        <w:rPr>
          <w:sz w:val="20"/>
        </w:rPr>
        <w:t>h</w:t>
      </w:r>
      <w:r>
        <w:rPr>
          <w:sz w:val="20"/>
        </w:rPr>
        <w:t>a</w:t>
      </w:r>
      <w:r w:rsidR="00EE4D0B">
        <w:rPr>
          <w:sz w:val="20"/>
        </w:rPr>
        <w:t>s</w:t>
      </w:r>
      <w:r>
        <w:rPr>
          <w:sz w:val="20"/>
        </w:rPr>
        <w:t xml:space="preserve"> focuse</w:t>
      </w:r>
      <w:r w:rsidR="00EE4D0B">
        <w:rPr>
          <w:sz w:val="20"/>
        </w:rPr>
        <w:t>d</w:t>
      </w:r>
      <w:r>
        <w:rPr>
          <w:sz w:val="20"/>
        </w:rPr>
        <w:t xml:space="preserve"> particularly on developing companies, high-techs, SMEs and start-ups, enabling more than 2,000 SMEs to raise capital for their development via TPEx to date. Signing of a Memorandum of Cooperation was part of the programme of a visit </w:t>
      </w:r>
      <w:r w:rsidR="00EE4D0B">
        <w:rPr>
          <w:sz w:val="20"/>
        </w:rPr>
        <w:t xml:space="preserve">to Taiwan </w:t>
      </w:r>
      <w:r>
        <w:rPr>
          <w:sz w:val="20"/>
        </w:rPr>
        <w:t xml:space="preserve">by a joint delegation of the Zagreb Stock Exchange, Ljubljana Stock Exchange and the European Bank </w:t>
      </w:r>
      <w:r w:rsidR="00EE4D0B">
        <w:rPr>
          <w:sz w:val="20"/>
        </w:rPr>
        <w:t>f</w:t>
      </w:r>
      <w:r>
        <w:rPr>
          <w:sz w:val="20"/>
        </w:rPr>
        <w:t xml:space="preserve">or Reconstruction </w:t>
      </w:r>
      <w:r w:rsidR="00EE4D0B">
        <w:rPr>
          <w:sz w:val="20"/>
        </w:rPr>
        <w:t>a</w:t>
      </w:r>
      <w:r>
        <w:rPr>
          <w:sz w:val="20"/>
        </w:rPr>
        <w:t xml:space="preserve">nd Development aimed at gathering experience and exchanging ideas related to the development of regional capital markets within the scope of the </w:t>
      </w:r>
      <w:r>
        <w:rPr>
          <w:b/>
          <w:sz w:val="20"/>
        </w:rPr>
        <w:t>SME Growth Market</w:t>
      </w:r>
      <w:r>
        <w:rPr>
          <w:sz w:val="20"/>
        </w:rPr>
        <w:t xml:space="preserve"> project. It is a joint project of the Zagreb Stock Exchange and the European Bank for Reconstruction and Development, which has financed a study on the establishment of an SME market in the region with the help of its donors (TaiwanBusiness – EBRD Technical Cooperation Fund – TWTC) to facilitate SME access to capital.</w:t>
      </w:r>
    </w:p>
    <w:p w14:paraId="37263EEF" w14:textId="77777777" w:rsidR="00363A9D" w:rsidRPr="00363A9D" w:rsidRDefault="00363A9D" w:rsidP="00363A9D">
      <w:pPr>
        <w:pStyle w:val="NoSpacing"/>
        <w:jc w:val="both"/>
        <w:rPr>
          <w:sz w:val="20"/>
        </w:rPr>
      </w:pPr>
      <w:r>
        <w:rPr>
          <w:sz w:val="20"/>
        </w:rPr>
        <w:t xml:space="preserve">In connection with that project, the Zagreb Stock Exchange held an </w:t>
      </w:r>
      <w:r>
        <w:rPr>
          <w:b/>
          <w:sz w:val="20"/>
        </w:rPr>
        <w:t>SME Growth Market Conference</w:t>
      </w:r>
      <w:r>
        <w:rPr>
          <w:sz w:val="20"/>
        </w:rPr>
        <w:t xml:space="preserve"> late in June to present results of said study and also announce Progress – a new trading facility to help SMEs to finance their growth with equity capital, instead of debt financing. The project was supported by Martina Dalić, Croatia’s Deputy Prime Minister and Minister for Economy, Entrepreneurship and Crafts, as well as by Vedrana Jelušić, director of the European Bank for Reconstruction and Development for Croatia, Slovenia, Slovakia</w:t>
      </w:r>
      <w:r w:rsidR="00EE4D0B">
        <w:rPr>
          <w:sz w:val="20"/>
        </w:rPr>
        <w:t>,</w:t>
      </w:r>
      <w:r>
        <w:rPr>
          <w:sz w:val="20"/>
        </w:rPr>
        <w:t xml:space="preserve"> and Hungary.</w:t>
      </w:r>
    </w:p>
    <w:p w14:paraId="514918D6" w14:textId="77777777" w:rsidR="00363A9D" w:rsidRPr="00363A9D" w:rsidRDefault="00363A9D" w:rsidP="00363A9D">
      <w:pPr>
        <w:pStyle w:val="NoSpacing"/>
        <w:jc w:val="both"/>
        <w:rPr>
          <w:sz w:val="20"/>
        </w:rPr>
      </w:pPr>
      <w:r>
        <w:rPr>
          <w:sz w:val="20"/>
        </w:rPr>
        <w:t xml:space="preserve">The second half of the year saw the launch of intensive preparations related to the </w:t>
      </w:r>
      <w:r>
        <w:rPr>
          <w:b/>
          <w:sz w:val="20"/>
        </w:rPr>
        <w:t>Progress platform</w:t>
      </w:r>
      <w:r>
        <w:rPr>
          <w:sz w:val="20"/>
        </w:rPr>
        <w:t xml:space="preserve">: a new website was created and the legal framework established by adopting the Progress Market Rules, other acts and documents, with a tender for the grant of Progress Market adviser </w:t>
      </w:r>
      <w:r w:rsidR="00EE4D0B">
        <w:rPr>
          <w:sz w:val="20"/>
        </w:rPr>
        <w:t xml:space="preserve">status </w:t>
      </w:r>
      <w:r>
        <w:rPr>
          <w:sz w:val="20"/>
        </w:rPr>
        <w:t xml:space="preserve">also published. In just a month from its launch, a large number of applications for the grant of Progress Market adviser status </w:t>
      </w:r>
      <w:r w:rsidRPr="009944AA">
        <w:rPr>
          <w:sz w:val="20"/>
        </w:rPr>
        <w:t>was received</w:t>
      </w:r>
      <w:r>
        <w:rPr>
          <w:sz w:val="20"/>
        </w:rPr>
        <w:t xml:space="preserve">, testifying to the interest in new capital market product development in Croatia as well as </w:t>
      </w:r>
      <w:r w:rsidR="00EE4D0B">
        <w:rPr>
          <w:sz w:val="20"/>
        </w:rPr>
        <w:t>i</w:t>
      </w:r>
      <w:r>
        <w:rPr>
          <w:sz w:val="20"/>
        </w:rPr>
        <w:t xml:space="preserve">n the parallel forming of a new branch in the area of business and financial advisory services. </w:t>
      </w:r>
      <w:r w:rsidR="00EE4D0B">
        <w:rPr>
          <w:sz w:val="20"/>
        </w:rPr>
        <w:t>A</w:t>
      </w:r>
      <w:r>
        <w:rPr>
          <w:sz w:val="20"/>
        </w:rPr>
        <w:t xml:space="preserve"> total of nine companies </w:t>
      </w:r>
      <w:r w:rsidR="00EE4D0B">
        <w:rPr>
          <w:sz w:val="20"/>
        </w:rPr>
        <w:t xml:space="preserve">were found to </w:t>
      </w:r>
      <w:r>
        <w:rPr>
          <w:sz w:val="20"/>
        </w:rPr>
        <w:t>me</w:t>
      </w:r>
      <w:r w:rsidR="00EE4D0B">
        <w:rPr>
          <w:sz w:val="20"/>
        </w:rPr>
        <w:t>e</w:t>
      </w:r>
      <w:r>
        <w:rPr>
          <w:sz w:val="20"/>
        </w:rPr>
        <w:t xml:space="preserve">t the criteria </w:t>
      </w:r>
      <w:r w:rsidR="00EE4D0B">
        <w:rPr>
          <w:sz w:val="20"/>
        </w:rPr>
        <w:t>required</w:t>
      </w:r>
      <w:r>
        <w:rPr>
          <w:sz w:val="20"/>
        </w:rPr>
        <w:t xml:space="preserve"> for the role of </w:t>
      </w:r>
      <w:r w:rsidRPr="009944AA">
        <w:rPr>
          <w:sz w:val="20"/>
        </w:rPr>
        <w:t>advisers</w:t>
      </w:r>
      <w:r>
        <w:rPr>
          <w:sz w:val="20"/>
        </w:rPr>
        <w:t xml:space="preserve"> to prospective issuer</w:t>
      </w:r>
      <w:r w:rsidR="00EE4D0B">
        <w:rPr>
          <w:sz w:val="20"/>
        </w:rPr>
        <w:t>s</w:t>
      </w:r>
      <w:r>
        <w:rPr>
          <w:sz w:val="20"/>
        </w:rPr>
        <w:t>, and the platform is expected to be put into operation in Q1 2018.</w:t>
      </w:r>
    </w:p>
    <w:p w14:paraId="7C4AA48D" w14:textId="77777777" w:rsidR="00363A9D" w:rsidRPr="00363A9D" w:rsidRDefault="00363A9D" w:rsidP="00363A9D">
      <w:pPr>
        <w:pStyle w:val="NoSpacing"/>
        <w:jc w:val="both"/>
        <w:rPr>
          <w:sz w:val="20"/>
        </w:rPr>
      </w:pPr>
      <w:bookmarkStart w:id="0" w:name="_GoBack"/>
      <w:bookmarkEnd w:id="0"/>
    </w:p>
    <w:p w14:paraId="5697BB1E" w14:textId="77777777" w:rsidR="00363A9D" w:rsidRPr="00363A9D" w:rsidRDefault="00363A9D" w:rsidP="00363A9D">
      <w:pPr>
        <w:pStyle w:val="NoSpacing"/>
        <w:jc w:val="both"/>
        <w:rPr>
          <w:sz w:val="20"/>
        </w:rPr>
      </w:pPr>
      <w:r>
        <w:rPr>
          <w:sz w:val="20"/>
        </w:rPr>
        <w:t xml:space="preserve">Funderbeam and Progress projects are part of the </w:t>
      </w:r>
      <w:r>
        <w:rPr>
          <w:b/>
          <w:sz w:val="20"/>
        </w:rPr>
        <w:t>development-oriented strategy of the Zagreb Stock Exchange</w:t>
      </w:r>
      <w:r>
        <w:rPr>
          <w:sz w:val="20"/>
        </w:rPr>
        <w:t xml:space="preserve"> aimed at creating such conditions in the market of Croatia and Slovenia </w:t>
      </w:r>
      <w:r w:rsidR="00EE4D0B">
        <w:rPr>
          <w:sz w:val="20"/>
        </w:rPr>
        <w:t xml:space="preserve">as </w:t>
      </w:r>
      <w:r>
        <w:rPr>
          <w:sz w:val="20"/>
        </w:rPr>
        <w:t>to allow companies in all growth stages to secure capital necessary for further growth, thus helping to foster a</w:t>
      </w:r>
      <w:r w:rsidR="00EE4D0B">
        <w:rPr>
          <w:sz w:val="20"/>
        </w:rPr>
        <w:t>n</w:t>
      </w:r>
      <w:r>
        <w:rPr>
          <w:sz w:val="20"/>
        </w:rPr>
        <w:t xml:space="preserve"> environment </w:t>
      </w:r>
      <w:r w:rsidR="00EE4D0B">
        <w:rPr>
          <w:sz w:val="20"/>
        </w:rPr>
        <w:t xml:space="preserve">favourable </w:t>
      </w:r>
      <w:r>
        <w:rPr>
          <w:sz w:val="20"/>
        </w:rPr>
        <w:t>for entrepreneurs, economic growth and employment.</w:t>
      </w:r>
    </w:p>
    <w:p w14:paraId="15F25E85" w14:textId="77777777" w:rsidR="00363A9D" w:rsidRPr="00363A9D" w:rsidRDefault="00363A9D" w:rsidP="00363A9D">
      <w:pPr>
        <w:pStyle w:val="NoSpacing"/>
        <w:jc w:val="both"/>
        <w:rPr>
          <w:sz w:val="20"/>
        </w:rPr>
      </w:pPr>
    </w:p>
    <w:p w14:paraId="0E20C805" w14:textId="77777777" w:rsidR="00363A9D" w:rsidRPr="00363A9D" w:rsidRDefault="00363A9D" w:rsidP="00363A9D">
      <w:pPr>
        <w:pStyle w:val="NoSpacing"/>
        <w:jc w:val="both"/>
        <w:rPr>
          <w:sz w:val="20"/>
        </w:rPr>
      </w:pPr>
      <w:r>
        <w:rPr>
          <w:sz w:val="20"/>
        </w:rPr>
        <w:t xml:space="preserve">The second </w:t>
      </w:r>
      <w:r>
        <w:rPr>
          <w:b/>
          <w:sz w:val="20"/>
        </w:rPr>
        <w:t>SEE Link international conference</w:t>
      </w:r>
      <w:r>
        <w:rPr>
          <w:sz w:val="20"/>
        </w:rPr>
        <w:t xml:space="preserve"> was held in Belgrade in April. It was co-organised by the Zagreb Stock Exchange and the stock exchanges from Macedonia and Bulgaria, as joint co-founders with the Zagreb Stock Exchange of the SEE Link d.o.o. company based in Skopje. The conference gathered more than 70 </w:t>
      </w:r>
      <w:r>
        <w:rPr>
          <w:sz w:val="20"/>
        </w:rPr>
        <w:lastRenderedPageBreak/>
        <w:t>participants from Bosnia and Herzegovina, Bulgaria, Montenegro, Croatia, Macedonia, Slovenia</w:t>
      </w:r>
      <w:r w:rsidR="00EE4D0B">
        <w:rPr>
          <w:sz w:val="20"/>
        </w:rPr>
        <w:t>,</w:t>
      </w:r>
      <w:r>
        <w:rPr>
          <w:sz w:val="20"/>
        </w:rPr>
        <w:t xml:space="preserve"> and Serbia. The SEE Link system for order routing among stock exchanges currently supports trading on seven regional exchanges</w:t>
      </w:r>
      <w:r w:rsidR="00AF3F56">
        <w:rPr>
          <w:sz w:val="20"/>
        </w:rPr>
        <w:t>;</w:t>
      </w:r>
      <w:r>
        <w:rPr>
          <w:sz w:val="20"/>
        </w:rPr>
        <w:t xml:space="preserve"> </w:t>
      </w:r>
      <w:r w:rsidR="00AF3F56">
        <w:rPr>
          <w:sz w:val="20"/>
        </w:rPr>
        <w:t>it boasts</w:t>
      </w:r>
      <w:r>
        <w:rPr>
          <w:sz w:val="20"/>
        </w:rPr>
        <w:t xml:space="preserve"> total market capitalisation in excess of USD 38.5 billion and more than 500 securities available for trading. </w:t>
      </w:r>
    </w:p>
    <w:p w14:paraId="1AA62808" w14:textId="77777777" w:rsidR="00363A9D" w:rsidRPr="00363A9D" w:rsidRDefault="00363A9D" w:rsidP="00363A9D">
      <w:pPr>
        <w:pStyle w:val="NoSpacing"/>
        <w:jc w:val="both"/>
        <w:rPr>
          <w:sz w:val="20"/>
        </w:rPr>
      </w:pPr>
    </w:p>
    <w:p w14:paraId="735A87EE" w14:textId="0CFC5AAB" w:rsidR="00363A9D" w:rsidRPr="00363A9D" w:rsidRDefault="00363A9D" w:rsidP="00363A9D">
      <w:pPr>
        <w:pStyle w:val="NoSpacing"/>
        <w:jc w:val="both"/>
        <w:rPr>
          <w:sz w:val="20"/>
        </w:rPr>
      </w:pPr>
      <w:r>
        <w:rPr>
          <w:sz w:val="20"/>
        </w:rPr>
        <w:t>According to a quality report published by the Global Legal Entity Identifier Foundation (GLEIF), the Zagreb Stock Exchange was assessed in six monthly reports as one of the five best LEI issuers in the world. The Zagreb Stock Exchange has been authorised to assign and administer LEIs since April 2015. Late in 2017, it was accredited by GLEIF</w:t>
      </w:r>
      <w:r w:rsidR="00984B28" w:rsidRPr="00984B28">
        <w:rPr>
          <w:sz w:val="20"/>
        </w:rPr>
        <w:t xml:space="preserve"> </w:t>
      </w:r>
      <w:r w:rsidR="00984B28">
        <w:rPr>
          <w:sz w:val="20"/>
        </w:rPr>
        <w:t>following a lengthy and comprehensive procedure</w:t>
      </w:r>
      <w:r>
        <w:rPr>
          <w:sz w:val="20"/>
        </w:rPr>
        <w:t xml:space="preserve"> as the </w:t>
      </w:r>
      <w:r>
        <w:rPr>
          <w:b/>
          <w:sz w:val="20"/>
        </w:rPr>
        <w:t xml:space="preserve">Local Operating Unit </w:t>
      </w:r>
      <w:r>
        <w:rPr>
          <w:sz w:val="20"/>
        </w:rPr>
        <w:t>(LOU), becoming the 17</w:t>
      </w:r>
      <w:r>
        <w:rPr>
          <w:sz w:val="20"/>
          <w:vertAlign w:val="superscript"/>
        </w:rPr>
        <w:t>th</w:t>
      </w:r>
      <w:r>
        <w:rPr>
          <w:sz w:val="20"/>
        </w:rPr>
        <w:t xml:space="preserve"> organisation in the world to be granted this status.</w:t>
      </w:r>
    </w:p>
    <w:p w14:paraId="731DAB2C" w14:textId="77777777" w:rsidR="00363A9D" w:rsidRPr="00363A9D" w:rsidRDefault="00363A9D" w:rsidP="00363A9D">
      <w:pPr>
        <w:pStyle w:val="NoSpacing"/>
        <w:jc w:val="both"/>
        <w:rPr>
          <w:sz w:val="20"/>
        </w:rPr>
      </w:pPr>
    </w:p>
    <w:p w14:paraId="543C9E9C" w14:textId="75681541" w:rsidR="00363A9D" w:rsidRPr="00363A9D" w:rsidRDefault="00363A9D" w:rsidP="00363A9D">
      <w:pPr>
        <w:pStyle w:val="NoSpacing"/>
        <w:jc w:val="both"/>
        <w:rPr>
          <w:sz w:val="20"/>
        </w:rPr>
      </w:pPr>
      <w:r w:rsidRPr="00984B28">
        <w:rPr>
          <w:sz w:val="20"/>
          <w:szCs w:val="20"/>
        </w:rPr>
        <w:t xml:space="preserve">The </w:t>
      </w:r>
      <w:r w:rsidRPr="00984B28">
        <w:rPr>
          <w:b/>
          <w:sz w:val="20"/>
          <w:szCs w:val="20"/>
        </w:rPr>
        <w:t xml:space="preserve">ZSE Academy </w:t>
      </w:r>
      <w:r w:rsidRPr="00984B28">
        <w:rPr>
          <w:sz w:val="20"/>
          <w:szCs w:val="20"/>
        </w:rPr>
        <w:t>celebrated the 7</w:t>
      </w:r>
      <w:r w:rsidRPr="00984B28">
        <w:rPr>
          <w:sz w:val="20"/>
          <w:szCs w:val="20"/>
          <w:vertAlign w:val="superscript"/>
        </w:rPr>
        <w:t>th</w:t>
      </w:r>
      <w:r w:rsidRPr="00984B28">
        <w:rPr>
          <w:sz w:val="20"/>
          <w:szCs w:val="20"/>
        </w:rPr>
        <w:t xml:space="preserve"> anniversary of its work in 2017. Founded in 2010</w:t>
      </w:r>
      <w:r>
        <w:rPr>
          <w:sz w:val="20"/>
        </w:rPr>
        <w:t xml:space="preserve"> with the European Bank for Reconstruction and Development support, the ZSE Academy currently </w:t>
      </w:r>
      <w:r w:rsidR="00984B28">
        <w:rPr>
          <w:sz w:val="20"/>
        </w:rPr>
        <w:t>ranks as the</w:t>
      </w:r>
      <w:r>
        <w:rPr>
          <w:sz w:val="20"/>
        </w:rPr>
        <w:t xml:space="preserve"> biggest provider of education services on financial markets</w:t>
      </w:r>
      <w:r w:rsidR="00984B28">
        <w:rPr>
          <w:sz w:val="20"/>
        </w:rPr>
        <w:t xml:space="preserve"> in Croatia</w:t>
      </w:r>
      <w:r>
        <w:rPr>
          <w:sz w:val="20"/>
        </w:rPr>
        <w:t xml:space="preserve">. </w:t>
      </w:r>
      <w:r w:rsidR="00984B28">
        <w:rPr>
          <w:sz w:val="20"/>
        </w:rPr>
        <w:t>It has developed and delivered s</w:t>
      </w:r>
      <w:r>
        <w:rPr>
          <w:sz w:val="20"/>
        </w:rPr>
        <w:t xml:space="preserve">ome 60 education and training programmes to date, including several of longer duration and more comprehensive in their scope, such as the investor relations programme – which has produced six generations of investor relations experts so far – as well as the compliance programme, completed by the first generation of participants in December 2017. The ZSE Academy programmes have been attended by more than 6,600 participants, of whom almost 70 % received their training free of charge. A </w:t>
      </w:r>
      <w:r w:rsidR="00984B28">
        <w:rPr>
          <w:sz w:val="20"/>
        </w:rPr>
        <w:t>special</w:t>
      </w:r>
      <w:r>
        <w:rPr>
          <w:sz w:val="20"/>
        </w:rPr>
        <w:t xml:space="preserve"> emphasis is placed on the education of the young, p</w:t>
      </w:r>
      <w:r w:rsidR="00984B28">
        <w:rPr>
          <w:sz w:val="20"/>
        </w:rPr>
        <w:t>arti</w:t>
      </w:r>
      <w:r>
        <w:rPr>
          <w:sz w:val="20"/>
        </w:rPr>
        <w:t>c</w:t>
      </w:r>
      <w:r w:rsidR="00984B28">
        <w:rPr>
          <w:sz w:val="20"/>
        </w:rPr>
        <w:t>u</w:t>
      </w:r>
      <w:r>
        <w:rPr>
          <w:sz w:val="20"/>
        </w:rPr>
        <w:t>l</w:t>
      </w:r>
      <w:r w:rsidR="00984B28">
        <w:rPr>
          <w:sz w:val="20"/>
        </w:rPr>
        <w:t>ar</w:t>
      </w:r>
      <w:r>
        <w:rPr>
          <w:sz w:val="20"/>
        </w:rPr>
        <w:t xml:space="preserve">ly secondary </w:t>
      </w:r>
      <w:r w:rsidR="00984B28">
        <w:rPr>
          <w:sz w:val="20"/>
        </w:rPr>
        <w:t xml:space="preserve">school </w:t>
      </w:r>
      <w:r>
        <w:rPr>
          <w:sz w:val="20"/>
        </w:rPr>
        <w:t>and university students</w:t>
      </w:r>
      <w:r w:rsidR="00984B28">
        <w:rPr>
          <w:sz w:val="20"/>
        </w:rPr>
        <w:t>, and</w:t>
      </w:r>
      <w:r>
        <w:rPr>
          <w:sz w:val="20"/>
        </w:rPr>
        <w:t xml:space="preserve"> the ZSE Academy delivered education programmed to almost 2,500 of them in 2016 and 2017 alone. </w:t>
      </w:r>
    </w:p>
    <w:p w14:paraId="349DA89B" w14:textId="77777777" w:rsidR="00363A9D" w:rsidRPr="00363A9D" w:rsidRDefault="00363A9D" w:rsidP="00363A9D">
      <w:pPr>
        <w:pStyle w:val="NoSpacing"/>
        <w:jc w:val="both"/>
        <w:rPr>
          <w:sz w:val="20"/>
        </w:rPr>
      </w:pPr>
    </w:p>
    <w:p w14:paraId="1F5A054C" w14:textId="63D64D2A" w:rsidR="00363A9D" w:rsidRPr="00363A9D" w:rsidRDefault="00363A9D" w:rsidP="00363A9D">
      <w:pPr>
        <w:pStyle w:val="NoSpacing"/>
        <w:jc w:val="both"/>
        <w:rPr>
          <w:sz w:val="20"/>
        </w:rPr>
      </w:pPr>
      <w:r>
        <w:rPr>
          <w:sz w:val="20"/>
        </w:rPr>
        <w:t xml:space="preserve">Late in May, Zagreb was the venue of the </w:t>
      </w:r>
      <w:r>
        <w:rPr>
          <w:b/>
          <w:sz w:val="20"/>
        </w:rPr>
        <w:t>4</w:t>
      </w:r>
      <w:r>
        <w:rPr>
          <w:b/>
          <w:sz w:val="20"/>
          <w:vertAlign w:val="superscript"/>
        </w:rPr>
        <w:t>th</w:t>
      </w:r>
      <w:r>
        <w:rPr>
          <w:b/>
          <w:sz w:val="20"/>
        </w:rPr>
        <w:t xml:space="preserve"> Ljubljana and Zagreb Stock Exchange Investment Days</w:t>
      </w:r>
      <w:r>
        <w:rPr>
          <w:sz w:val="20"/>
        </w:rPr>
        <w:t xml:space="preserve"> – the most successful such event to date by the number of registered investors, as well as by the number of meetings requested and held. Thanks to strong interest, the event stretched to two days for the first time, enlisting participation of eight Slovenian and seven Croatian issuer companies, 30 investment firms and banks as well as 56 analysts and investors from Austria, Hungary, the Czech Republic, Estonia, China, Croatia and Slovenia. A total of 255 requests for meetings were received, with </w:t>
      </w:r>
      <w:r w:rsidR="00984B28">
        <w:rPr>
          <w:sz w:val="20"/>
        </w:rPr>
        <w:t xml:space="preserve">participant </w:t>
      </w:r>
      <w:r>
        <w:rPr>
          <w:sz w:val="20"/>
        </w:rPr>
        <w:t xml:space="preserve">companies holding as many as 198 one-on-one and group meetings. The Zagreb and the Ljubljana Stock Exchange will continue to </w:t>
      </w:r>
      <w:r w:rsidR="00984B28">
        <w:rPr>
          <w:sz w:val="20"/>
        </w:rPr>
        <w:t>undertak</w:t>
      </w:r>
      <w:r>
        <w:rPr>
          <w:sz w:val="20"/>
        </w:rPr>
        <w:t>e individual and joint activities aimed at increasing interest and bolstering the confidence of both local and foreign investors.</w:t>
      </w:r>
    </w:p>
    <w:p w14:paraId="5B89F6EB" w14:textId="77777777" w:rsidR="00363A9D" w:rsidRPr="00363A9D" w:rsidRDefault="00363A9D" w:rsidP="00363A9D">
      <w:pPr>
        <w:pStyle w:val="NoSpacing"/>
        <w:jc w:val="both"/>
        <w:rPr>
          <w:sz w:val="20"/>
        </w:rPr>
      </w:pPr>
    </w:p>
    <w:p w14:paraId="56D28C0E" w14:textId="77777777" w:rsidR="00363A9D" w:rsidRPr="00363A9D" w:rsidRDefault="00363A9D" w:rsidP="00363A9D">
      <w:pPr>
        <w:pStyle w:val="NoSpacing"/>
        <w:jc w:val="both"/>
        <w:rPr>
          <w:sz w:val="20"/>
        </w:rPr>
      </w:pPr>
      <w:r>
        <w:rPr>
          <w:sz w:val="20"/>
        </w:rPr>
        <w:t xml:space="preserve">Early in June, in cooperation with the Croatian Financial Services Supervisory Agency and the Central Depository and Clearing Company, the Zagreb Stock Exchange held the </w:t>
      </w:r>
      <w:r>
        <w:rPr>
          <w:b/>
          <w:sz w:val="20"/>
        </w:rPr>
        <w:t>8</w:t>
      </w:r>
      <w:r>
        <w:rPr>
          <w:b/>
          <w:sz w:val="20"/>
          <w:vertAlign w:val="superscript"/>
        </w:rPr>
        <w:t>th</w:t>
      </w:r>
      <w:r>
        <w:rPr>
          <w:b/>
          <w:sz w:val="20"/>
        </w:rPr>
        <w:t xml:space="preserve"> round of annual education for regulated market issuers</w:t>
      </w:r>
      <w:r>
        <w:rPr>
          <w:sz w:val="20"/>
        </w:rPr>
        <w:t xml:space="preserve">, gathering some 100 representatives of listed companies. </w:t>
      </w:r>
    </w:p>
    <w:p w14:paraId="6653EA7F" w14:textId="77777777" w:rsidR="00363A9D" w:rsidRPr="00363A9D" w:rsidRDefault="00363A9D" w:rsidP="00363A9D">
      <w:pPr>
        <w:pStyle w:val="NoSpacing"/>
        <w:jc w:val="both"/>
        <w:rPr>
          <w:sz w:val="20"/>
        </w:rPr>
      </w:pPr>
    </w:p>
    <w:p w14:paraId="3C57FC2E" w14:textId="75C96655" w:rsidR="00363A9D" w:rsidRPr="00363A9D" w:rsidRDefault="00984B28" w:rsidP="00363A9D">
      <w:pPr>
        <w:pStyle w:val="NoSpacing"/>
        <w:jc w:val="both"/>
        <w:rPr>
          <w:sz w:val="20"/>
        </w:rPr>
      </w:pPr>
      <w:r>
        <w:rPr>
          <w:sz w:val="20"/>
        </w:rPr>
        <w:t>I</w:t>
      </w:r>
      <w:r w:rsidR="00363A9D">
        <w:rPr>
          <w:sz w:val="20"/>
        </w:rPr>
        <w:t>n July</w:t>
      </w:r>
      <w:r>
        <w:rPr>
          <w:sz w:val="20"/>
        </w:rPr>
        <w:t>,</w:t>
      </w:r>
      <w:r w:rsidR="00363A9D">
        <w:rPr>
          <w:sz w:val="20"/>
        </w:rPr>
        <w:t xml:space="preserve"> the Zagreb Stock Exchange successfully migrated to a new trading platform, switching</w:t>
      </w:r>
      <w:r w:rsidRPr="00984B28">
        <w:rPr>
          <w:sz w:val="20"/>
        </w:rPr>
        <w:t xml:space="preserve"> </w:t>
      </w:r>
      <w:r>
        <w:rPr>
          <w:sz w:val="20"/>
        </w:rPr>
        <w:t>after 10 years</w:t>
      </w:r>
      <w:r w:rsidR="00363A9D">
        <w:rPr>
          <w:sz w:val="20"/>
        </w:rPr>
        <w:t xml:space="preserve"> to the Xetra Deutsche Börse </w:t>
      </w:r>
      <w:r w:rsidR="00363A9D">
        <w:rPr>
          <w:b/>
          <w:sz w:val="20"/>
        </w:rPr>
        <w:t>trading system</w:t>
      </w:r>
      <w:r w:rsidR="00363A9D">
        <w:rPr>
          <w:sz w:val="20"/>
        </w:rPr>
        <w:t xml:space="preserve">, distributed and operated in this part of Europe by the Vienna Stock Exchange. The trading system </w:t>
      </w:r>
      <w:r>
        <w:rPr>
          <w:sz w:val="20"/>
        </w:rPr>
        <w:t xml:space="preserve">change </w:t>
      </w:r>
      <w:r w:rsidR="00363A9D">
        <w:rPr>
          <w:sz w:val="20"/>
        </w:rPr>
        <w:t>achieved several strategically important goals: both markets managed by the Zagreb Stock Exchange (i.e. Croatia and Slovenia) now operate on the same platform as a number of other European markets, preconditions for savings have been c</w:t>
      </w:r>
      <w:r>
        <w:rPr>
          <w:sz w:val="20"/>
        </w:rPr>
        <w:t>r</w:t>
      </w:r>
      <w:r w:rsidR="00363A9D">
        <w:rPr>
          <w:sz w:val="20"/>
        </w:rPr>
        <w:t>e</w:t>
      </w:r>
      <w:r>
        <w:rPr>
          <w:sz w:val="20"/>
        </w:rPr>
        <w:t>at</w:t>
      </w:r>
      <w:r w:rsidR="00363A9D">
        <w:rPr>
          <w:sz w:val="20"/>
        </w:rPr>
        <w:t xml:space="preserve">ed and, very importantly, the Xetra trading platform was automatically made compliant with new EU regulations, thus considerably reducing the Zagreb Stock Exchange’s regulatory risk. </w:t>
      </w:r>
    </w:p>
    <w:p w14:paraId="167235B9" w14:textId="77777777" w:rsidR="00363A9D" w:rsidRPr="00363A9D" w:rsidRDefault="00363A9D" w:rsidP="00363A9D">
      <w:pPr>
        <w:pStyle w:val="NoSpacing"/>
        <w:jc w:val="both"/>
        <w:rPr>
          <w:sz w:val="20"/>
        </w:rPr>
      </w:pPr>
    </w:p>
    <w:p w14:paraId="3683B8D9" w14:textId="5E01E8D5" w:rsidR="00363A9D" w:rsidRPr="00363A9D" w:rsidRDefault="00363A9D" w:rsidP="00363A9D">
      <w:pPr>
        <w:pStyle w:val="NoSpacing"/>
        <w:jc w:val="both"/>
        <w:rPr>
          <w:sz w:val="20"/>
        </w:rPr>
      </w:pPr>
      <w:r>
        <w:rPr>
          <w:sz w:val="20"/>
        </w:rPr>
        <w:t>October was the month in which the 6</w:t>
      </w:r>
      <w:r w:rsidRPr="002A1C04">
        <w:rPr>
          <w:sz w:val="20"/>
          <w:vertAlign w:val="superscript"/>
        </w:rPr>
        <w:t>th</w:t>
      </w:r>
      <w:r>
        <w:rPr>
          <w:sz w:val="20"/>
        </w:rPr>
        <w:t xml:space="preserve"> joint conference of the Zagreb Stock Exchange and the Association of Pension Fund Management and Pension Insurance Companies entitled </w:t>
      </w:r>
      <w:r>
        <w:rPr>
          <w:b/>
          <w:sz w:val="20"/>
        </w:rPr>
        <w:t xml:space="preserve">“Challenge of </w:t>
      </w:r>
      <w:r w:rsidR="00984B28">
        <w:rPr>
          <w:b/>
          <w:sz w:val="20"/>
        </w:rPr>
        <w:t>C</w:t>
      </w:r>
      <w:r>
        <w:rPr>
          <w:b/>
          <w:sz w:val="20"/>
        </w:rPr>
        <w:t>hange: New Challenges”</w:t>
      </w:r>
      <w:r>
        <w:rPr>
          <w:sz w:val="20"/>
        </w:rPr>
        <w:t xml:space="preserve"> was held. As the most successful </w:t>
      </w:r>
      <w:r w:rsidR="00984B28">
        <w:rPr>
          <w:sz w:val="20"/>
        </w:rPr>
        <w:t>such c</w:t>
      </w:r>
      <w:r>
        <w:rPr>
          <w:sz w:val="20"/>
        </w:rPr>
        <w:t>on</w:t>
      </w:r>
      <w:r w:rsidR="00984B28">
        <w:rPr>
          <w:sz w:val="20"/>
        </w:rPr>
        <w:t>f</w:t>
      </w:r>
      <w:r>
        <w:rPr>
          <w:sz w:val="20"/>
        </w:rPr>
        <w:t>e</w:t>
      </w:r>
      <w:r w:rsidR="00984B28">
        <w:rPr>
          <w:sz w:val="20"/>
        </w:rPr>
        <w:t>rence</w:t>
      </w:r>
      <w:r>
        <w:rPr>
          <w:sz w:val="20"/>
        </w:rPr>
        <w:t xml:space="preserve"> to date, it </w:t>
      </w:r>
      <w:r w:rsidR="00984B28">
        <w:rPr>
          <w:sz w:val="20"/>
        </w:rPr>
        <w:t>attract</w:t>
      </w:r>
      <w:r>
        <w:rPr>
          <w:sz w:val="20"/>
        </w:rPr>
        <w:t>ed more than 450 participants from all branches of the financial industry in Croatia, its</w:t>
      </w:r>
      <w:r w:rsidR="00984B28">
        <w:rPr>
          <w:sz w:val="20"/>
        </w:rPr>
        <w:t xml:space="preserve"> region</w:t>
      </w:r>
      <w:r>
        <w:rPr>
          <w:sz w:val="20"/>
        </w:rPr>
        <w:t xml:space="preserve"> and the world. </w:t>
      </w:r>
    </w:p>
    <w:p w14:paraId="765730F9" w14:textId="77777777" w:rsidR="00363A9D" w:rsidRPr="00363A9D" w:rsidRDefault="00363A9D" w:rsidP="00363A9D">
      <w:pPr>
        <w:pStyle w:val="NoSpacing"/>
        <w:jc w:val="both"/>
        <w:rPr>
          <w:sz w:val="20"/>
        </w:rPr>
      </w:pPr>
    </w:p>
    <w:p w14:paraId="09FEBFFD" w14:textId="20EE2C29" w:rsidR="00363A9D" w:rsidRPr="00363A9D" w:rsidRDefault="00363A9D" w:rsidP="00363A9D">
      <w:pPr>
        <w:pStyle w:val="NoSpacing"/>
        <w:jc w:val="both"/>
        <w:rPr>
          <w:sz w:val="20"/>
        </w:rPr>
      </w:pPr>
      <w:r>
        <w:rPr>
          <w:sz w:val="20"/>
        </w:rPr>
        <w:lastRenderedPageBreak/>
        <w:t xml:space="preserve">The Zagreb Stock Exchange was recertified under </w:t>
      </w:r>
      <w:r>
        <w:rPr>
          <w:b/>
          <w:sz w:val="20"/>
        </w:rPr>
        <w:t>ISO 9001:2008</w:t>
      </w:r>
      <w:r>
        <w:rPr>
          <w:sz w:val="20"/>
        </w:rPr>
        <w:t xml:space="preserve"> quality management standard, first adopted in 2011, thus confirming quality management as the centre of its strategic interest, along with </w:t>
      </w:r>
      <w:r w:rsidR="00925D84">
        <w:rPr>
          <w:sz w:val="20"/>
        </w:rPr>
        <w:t xml:space="preserve">a </w:t>
      </w:r>
      <w:r>
        <w:rPr>
          <w:sz w:val="20"/>
        </w:rPr>
        <w:t>readiness to continually enhance and upgrade the quality of its business processes.</w:t>
      </w:r>
    </w:p>
    <w:p w14:paraId="0D180662" w14:textId="77777777" w:rsidR="00363A9D" w:rsidRPr="00363A9D" w:rsidRDefault="00363A9D" w:rsidP="00363A9D">
      <w:pPr>
        <w:pStyle w:val="NoSpacing"/>
        <w:jc w:val="both"/>
        <w:rPr>
          <w:sz w:val="20"/>
        </w:rPr>
      </w:pPr>
    </w:p>
    <w:p w14:paraId="6DB99D4A" w14:textId="770FC46B" w:rsidR="00363A9D" w:rsidRPr="00363A9D" w:rsidRDefault="00363A9D" w:rsidP="00363A9D">
      <w:pPr>
        <w:pStyle w:val="NoSpacing"/>
        <w:jc w:val="both"/>
        <w:rPr>
          <w:sz w:val="20"/>
        </w:rPr>
      </w:pPr>
      <w:r>
        <w:rPr>
          <w:sz w:val="20"/>
        </w:rPr>
        <w:t xml:space="preserve">The </w:t>
      </w:r>
      <w:r>
        <w:rPr>
          <w:b/>
          <w:sz w:val="20"/>
        </w:rPr>
        <w:t>Zagreb Stock Exchange Awards</w:t>
      </w:r>
      <w:r>
        <w:rPr>
          <w:sz w:val="20"/>
        </w:rPr>
        <w:t xml:space="preserve">, established with a view to strengthening the recognition of the capital market and its active participants among the financial and general public, were presented </w:t>
      </w:r>
      <w:r w:rsidR="00925D84">
        <w:rPr>
          <w:sz w:val="20"/>
        </w:rPr>
        <w:t>i</w:t>
      </w:r>
      <w:r>
        <w:rPr>
          <w:sz w:val="20"/>
        </w:rPr>
        <w:t>n December for the sixth time running.</w:t>
      </w:r>
    </w:p>
    <w:p w14:paraId="04D408DC" w14:textId="77777777" w:rsidR="00363A9D" w:rsidRPr="00363A9D" w:rsidRDefault="00363A9D" w:rsidP="00363A9D">
      <w:pPr>
        <w:pStyle w:val="NoSpacing"/>
        <w:jc w:val="both"/>
        <w:rPr>
          <w:sz w:val="20"/>
        </w:rPr>
      </w:pPr>
    </w:p>
    <w:p w14:paraId="5564A5D4" w14:textId="4231BD8D" w:rsidR="00363A9D" w:rsidRPr="00363A9D" w:rsidRDefault="00363A9D" w:rsidP="00363A9D">
      <w:pPr>
        <w:pStyle w:val="NoSpacing"/>
        <w:jc w:val="both"/>
        <w:rPr>
          <w:sz w:val="20"/>
        </w:rPr>
      </w:pPr>
      <w:r>
        <w:rPr>
          <w:sz w:val="20"/>
        </w:rPr>
        <w:t xml:space="preserve">The new </w:t>
      </w:r>
      <w:r>
        <w:rPr>
          <w:b/>
          <w:sz w:val="20"/>
        </w:rPr>
        <w:t>Exchange Rules</w:t>
      </w:r>
      <w:r>
        <w:rPr>
          <w:sz w:val="20"/>
        </w:rPr>
        <w:t xml:space="preserve">, harmonised with </w:t>
      </w:r>
      <w:r>
        <w:rPr>
          <w:b/>
          <w:sz w:val="20"/>
        </w:rPr>
        <w:t>MiFID II</w:t>
      </w:r>
      <w:r>
        <w:rPr>
          <w:sz w:val="20"/>
        </w:rPr>
        <w:t xml:space="preserve"> and other regulations, delegated and implementing acts, were approved late in 2017 and amendments to the CE Enter Market Rules were also introduced. The new Xetra 17.0 trading system version, which is fully </w:t>
      </w:r>
      <w:r w:rsidR="00925D84">
        <w:rPr>
          <w:sz w:val="20"/>
        </w:rPr>
        <w:t>harmonised</w:t>
      </w:r>
      <w:r>
        <w:rPr>
          <w:sz w:val="20"/>
        </w:rPr>
        <w:t xml:space="preserve"> with the new regulations, was successfully implemented as well. It is a very demanding project that </w:t>
      </w:r>
      <w:r w:rsidR="00925D84">
        <w:rPr>
          <w:sz w:val="20"/>
        </w:rPr>
        <w:t xml:space="preserve">took </w:t>
      </w:r>
      <w:r>
        <w:rPr>
          <w:sz w:val="20"/>
        </w:rPr>
        <w:t>the Zagreb Stock Exchange, as well as all other European markets, two years to prepare for.</w:t>
      </w:r>
    </w:p>
    <w:p w14:paraId="113AA1EA" w14:textId="77777777" w:rsidR="00363A9D" w:rsidRPr="00363A9D" w:rsidRDefault="00363A9D" w:rsidP="00363A9D">
      <w:pPr>
        <w:pStyle w:val="NoSpacing"/>
        <w:jc w:val="both"/>
        <w:rPr>
          <w:sz w:val="20"/>
        </w:rPr>
      </w:pPr>
    </w:p>
    <w:p w14:paraId="11625711" w14:textId="30A2254E" w:rsidR="00363A9D" w:rsidRPr="00363A9D" w:rsidRDefault="00363A9D" w:rsidP="00363A9D">
      <w:pPr>
        <w:pStyle w:val="NoSpacing"/>
        <w:jc w:val="both"/>
        <w:rPr>
          <w:sz w:val="20"/>
        </w:rPr>
      </w:pPr>
      <w:r>
        <w:rPr>
          <w:sz w:val="20"/>
        </w:rPr>
        <w:t xml:space="preserve">Building onto the new regulatory framework for the capital market (MiFID II and MiFIR), </w:t>
      </w:r>
      <w:r w:rsidR="0010330C">
        <w:rPr>
          <w:sz w:val="20"/>
        </w:rPr>
        <w:t xml:space="preserve">which </w:t>
      </w:r>
      <w:r>
        <w:rPr>
          <w:sz w:val="20"/>
        </w:rPr>
        <w:t>provid</w:t>
      </w:r>
      <w:r w:rsidR="0010330C">
        <w:rPr>
          <w:sz w:val="20"/>
        </w:rPr>
        <w:t>es</w:t>
      </w:r>
      <w:r>
        <w:rPr>
          <w:sz w:val="20"/>
        </w:rPr>
        <w:t xml:space="preserve"> for the obligation to report any transactions concluded outside a trading venue (so-called OTC transactions) in financial instruments traded on a trading venue (regulated market or MTF), </w:t>
      </w:r>
      <w:r w:rsidR="0010330C">
        <w:rPr>
          <w:sz w:val="20"/>
        </w:rPr>
        <w:t>towards the end of</w:t>
      </w:r>
      <w:r>
        <w:rPr>
          <w:sz w:val="20"/>
        </w:rPr>
        <w:t xml:space="preserve"> 2017 the Zagreb Stock Exchange embarked on preparations </w:t>
      </w:r>
      <w:r w:rsidR="003D5B1B">
        <w:rPr>
          <w:sz w:val="20"/>
        </w:rPr>
        <w:t>f</w:t>
      </w:r>
      <w:r>
        <w:rPr>
          <w:sz w:val="20"/>
        </w:rPr>
        <w:t>o</w:t>
      </w:r>
      <w:r w:rsidR="003D5B1B">
        <w:rPr>
          <w:sz w:val="20"/>
        </w:rPr>
        <w:t>r</w:t>
      </w:r>
      <w:r>
        <w:rPr>
          <w:sz w:val="20"/>
        </w:rPr>
        <w:t xml:space="preserve"> </w:t>
      </w:r>
      <w:r w:rsidR="003D5B1B">
        <w:rPr>
          <w:sz w:val="20"/>
        </w:rPr>
        <w:t xml:space="preserve">the </w:t>
      </w:r>
      <w:r>
        <w:rPr>
          <w:sz w:val="20"/>
        </w:rPr>
        <w:t>introduc</w:t>
      </w:r>
      <w:r w:rsidR="003D5B1B">
        <w:rPr>
          <w:sz w:val="20"/>
        </w:rPr>
        <w:t>tion of</w:t>
      </w:r>
      <w:r>
        <w:rPr>
          <w:sz w:val="20"/>
        </w:rPr>
        <w:t xml:space="preserve"> the approved publication arrangement or </w:t>
      </w:r>
      <w:r>
        <w:rPr>
          <w:b/>
          <w:sz w:val="20"/>
        </w:rPr>
        <w:t>APA service</w:t>
      </w:r>
      <w:r>
        <w:rPr>
          <w:sz w:val="20"/>
        </w:rPr>
        <w:t>. In the first days of 2018, the Croatian Financial Services Supervisory Agency authorised the provision of this service, which is aimed at improving the quality of trading transparency information and a</w:t>
      </w:r>
      <w:r w:rsidR="0010330C">
        <w:rPr>
          <w:sz w:val="20"/>
        </w:rPr>
        <w:t>lso</w:t>
      </w:r>
      <w:r>
        <w:rPr>
          <w:sz w:val="20"/>
        </w:rPr>
        <w:t xml:space="preserve"> contribut</w:t>
      </w:r>
      <w:r w:rsidR="0010330C">
        <w:rPr>
          <w:sz w:val="20"/>
        </w:rPr>
        <w:t>es</w:t>
      </w:r>
      <w:r>
        <w:rPr>
          <w:sz w:val="20"/>
        </w:rPr>
        <w:t xml:space="preserve"> significantly to ensuring that</w:t>
      </w:r>
      <w:r w:rsidR="0010330C">
        <w:rPr>
          <w:sz w:val="20"/>
        </w:rPr>
        <w:t xml:space="preserve"> such data</w:t>
      </w:r>
      <w:r>
        <w:rPr>
          <w:sz w:val="20"/>
        </w:rPr>
        <w:t xml:space="preserve"> is published in a way that facilitates consolidation with other data.</w:t>
      </w:r>
    </w:p>
    <w:p w14:paraId="04B2DE7A" w14:textId="77777777" w:rsidR="00363A9D" w:rsidRPr="00363A9D" w:rsidRDefault="00363A9D" w:rsidP="00363A9D">
      <w:pPr>
        <w:pStyle w:val="NoSpacing"/>
        <w:jc w:val="both"/>
        <w:rPr>
          <w:sz w:val="20"/>
        </w:rPr>
      </w:pPr>
    </w:p>
    <w:p w14:paraId="5D0DA3BE" w14:textId="77777777" w:rsidR="00363A9D" w:rsidRPr="00363A9D" w:rsidRDefault="00363A9D" w:rsidP="00363A9D">
      <w:pPr>
        <w:pStyle w:val="NoSpacing"/>
        <w:jc w:val="both"/>
        <w:rPr>
          <w:sz w:val="20"/>
        </w:rPr>
      </w:pPr>
      <w:r>
        <w:rPr>
          <w:sz w:val="20"/>
        </w:rPr>
        <w:t>The 2017 financial market environment was highly challenging, marked by increasingly strict regulatory requirements, with the local market characterised by specific economic and political turmoil.</w:t>
      </w:r>
    </w:p>
    <w:p w14:paraId="6F4F9D6B" w14:textId="54FE7911" w:rsidR="00363A9D" w:rsidRPr="00363A9D" w:rsidRDefault="00363A9D" w:rsidP="00363A9D">
      <w:pPr>
        <w:pStyle w:val="NoSpacing"/>
        <w:jc w:val="both"/>
        <w:rPr>
          <w:sz w:val="20"/>
        </w:rPr>
      </w:pPr>
      <w:r>
        <w:rPr>
          <w:sz w:val="20"/>
        </w:rPr>
        <w:t>Nevertheless, the Zagreb Stock Exchange managed to launch and complete several major innovative projects, relevant for the future of both the local and the regional market, while maintaining its position of the regional leader and filling the role as one of several mechanisms that foster economic growth. Meanwhile, it has continued to provide a high product and service quality level to satisfy the needs of its shareholders, investors, issuers, member</w:t>
      </w:r>
      <w:r w:rsidR="0010330C">
        <w:rPr>
          <w:sz w:val="20"/>
        </w:rPr>
        <w:t>s</w:t>
      </w:r>
      <w:r>
        <w:rPr>
          <w:sz w:val="20"/>
        </w:rPr>
        <w:t xml:space="preserve"> and all other stakeholders.</w:t>
      </w:r>
    </w:p>
    <w:p w14:paraId="5C56F334" w14:textId="77777777" w:rsidR="00363A9D" w:rsidRDefault="00363A9D" w:rsidP="00363A9D">
      <w:r>
        <w:t xml:space="preserve"> </w:t>
      </w:r>
    </w:p>
    <w:p w14:paraId="0EBCE9EF" w14:textId="55605150" w:rsidR="00663B62" w:rsidRPr="00F816AD" w:rsidRDefault="0010330C" w:rsidP="00663B62">
      <w:pPr>
        <w:pStyle w:val="Heading3"/>
        <w:tabs>
          <w:tab w:val="right" w:pos="9072"/>
        </w:tabs>
        <w:rPr>
          <w:rFonts w:asciiTheme="minorHAnsi" w:hAnsiTheme="minorHAnsi"/>
          <w:color w:val="5F497A" w:themeColor="accent4" w:themeShade="BF"/>
          <w:spacing w:val="40"/>
          <w:sz w:val="28"/>
        </w:rPr>
      </w:pPr>
      <w:r>
        <w:rPr>
          <w:rFonts w:asciiTheme="minorHAnsi" w:hAnsiTheme="minorHAnsi"/>
          <w:color w:val="5F497A" w:themeColor="accent4" w:themeShade="BF"/>
          <w:spacing w:val="40"/>
          <w:sz w:val="28"/>
        </w:rPr>
        <w:t xml:space="preserve">2017 </w:t>
      </w:r>
      <w:r w:rsidR="00663B62">
        <w:rPr>
          <w:rFonts w:asciiTheme="minorHAnsi" w:hAnsiTheme="minorHAnsi"/>
          <w:color w:val="5F497A" w:themeColor="accent4" w:themeShade="BF"/>
          <w:spacing w:val="40"/>
          <w:sz w:val="28"/>
        </w:rPr>
        <w:t xml:space="preserve">TRADING </w:t>
      </w:r>
    </w:p>
    <w:p w14:paraId="006739B7" w14:textId="77777777" w:rsidR="00363A9D" w:rsidRDefault="00363A9D" w:rsidP="00363A9D"/>
    <w:p w14:paraId="131DC453" w14:textId="4E0A0DA4" w:rsidR="00663B62" w:rsidRPr="00266E5B" w:rsidRDefault="00663B62" w:rsidP="00266E5B">
      <w:pPr>
        <w:pStyle w:val="NoSpacing"/>
        <w:jc w:val="both"/>
        <w:rPr>
          <w:sz w:val="20"/>
        </w:rPr>
      </w:pPr>
      <w:r>
        <w:rPr>
          <w:sz w:val="20"/>
        </w:rPr>
        <w:t>The year 2017 got off to an optimistic start, with growth in all key trading indicators, but the rest of the ye</w:t>
      </w:r>
      <w:r w:rsidR="00AA77C4">
        <w:rPr>
          <w:sz w:val="20"/>
        </w:rPr>
        <w:t xml:space="preserve">ar was </w:t>
      </w:r>
      <w:r w:rsidR="00DD5AB1">
        <w:rPr>
          <w:sz w:val="20"/>
        </w:rPr>
        <w:t>plagued</w:t>
      </w:r>
      <w:r w:rsidR="00AA77C4">
        <w:rPr>
          <w:sz w:val="20"/>
        </w:rPr>
        <w:t xml:space="preserve"> by uncertainties </w:t>
      </w:r>
      <w:r w:rsidR="00DD5AB1">
        <w:rPr>
          <w:sz w:val="20"/>
        </w:rPr>
        <w:t>about</w:t>
      </w:r>
      <w:r>
        <w:rPr>
          <w:sz w:val="20"/>
        </w:rPr>
        <w:t xml:space="preserve"> further </w:t>
      </w:r>
      <w:r w:rsidRPr="009944AA">
        <w:rPr>
          <w:sz w:val="20"/>
        </w:rPr>
        <w:t>developments</w:t>
      </w:r>
      <w:r>
        <w:rPr>
          <w:sz w:val="20"/>
        </w:rPr>
        <w:t xml:space="preserve"> </w:t>
      </w:r>
      <w:r w:rsidR="007D7B8A">
        <w:rPr>
          <w:sz w:val="20"/>
        </w:rPr>
        <w:t>sur</w:t>
      </w:r>
      <w:r>
        <w:rPr>
          <w:sz w:val="20"/>
        </w:rPr>
        <w:t>r</w:t>
      </w:r>
      <w:r w:rsidR="007D7B8A">
        <w:rPr>
          <w:sz w:val="20"/>
        </w:rPr>
        <w:t>ound</w:t>
      </w:r>
      <w:r>
        <w:rPr>
          <w:sz w:val="20"/>
        </w:rPr>
        <w:t>ing the shares of the companies which are members of the Agrokor concern.</w:t>
      </w:r>
    </w:p>
    <w:p w14:paraId="78016962" w14:textId="2068F86C" w:rsidR="00663B62" w:rsidRPr="00266E5B" w:rsidRDefault="00663B62" w:rsidP="00266E5B">
      <w:pPr>
        <w:pStyle w:val="NoSpacing"/>
        <w:jc w:val="both"/>
        <w:rPr>
          <w:sz w:val="20"/>
        </w:rPr>
      </w:pPr>
      <w:r>
        <w:rPr>
          <w:sz w:val="20"/>
        </w:rPr>
        <w:t>Finally, order book share turnover stood 37.</w:t>
      </w:r>
      <w:r w:rsidR="00AA77C4">
        <w:rPr>
          <w:sz w:val="20"/>
        </w:rPr>
        <w:t>3</w:t>
      </w:r>
      <w:r>
        <w:rPr>
          <w:sz w:val="20"/>
        </w:rPr>
        <w:t> % higher than in 2016, with total order book trading up 24.6 % on the year earlier.</w:t>
      </w:r>
    </w:p>
    <w:p w14:paraId="6934DCE0" w14:textId="77777777" w:rsidR="00663B62" w:rsidRPr="00266E5B" w:rsidRDefault="00663B62" w:rsidP="00266E5B">
      <w:pPr>
        <w:pStyle w:val="NoSpacing"/>
        <w:jc w:val="both"/>
        <w:rPr>
          <w:sz w:val="20"/>
        </w:rPr>
      </w:pPr>
    </w:p>
    <w:p w14:paraId="2C0A6E98" w14:textId="45E70583" w:rsidR="00663B62" w:rsidRPr="00266E5B" w:rsidRDefault="00663B62" w:rsidP="00266E5B">
      <w:pPr>
        <w:pStyle w:val="NoSpacing"/>
        <w:jc w:val="both"/>
        <w:rPr>
          <w:sz w:val="20"/>
        </w:rPr>
      </w:pPr>
      <w:r>
        <w:rPr>
          <w:sz w:val="20"/>
        </w:rPr>
        <w:t>While market capitalisation in shares weakened 3.4 %, growth in bond market capitalisation led to total market capitalisation growth</w:t>
      </w:r>
      <w:r w:rsidR="0010330C">
        <w:rPr>
          <w:sz w:val="20"/>
        </w:rPr>
        <w:t xml:space="preserve"> at a rate</w:t>
      </w:r>
      <w:r>
        <w:rPr>
          <w:sz w:val="20"/>
        </w:rPr>
        <w:t xml:space="preserve"> of 1.6 %.</w:t>
      </w:r>
    </w:p>
    <w:p w14:paraId="2741824E" w14:textId="77777777" w:rsidR="00663B62" w:rsidRPr="00266E5B" w:rsidRDefault="00663B62" w:rsidP="00266E5B">
      <w:pPr>
        <w:pStyle w:val="NoSpacing"/>
        <w:jc w:val="both"/>
        <w:rPr>
          <w:sz w:val="20"/>
        </w:rPr>
      </w:pPr>
    </w:p>
    <w:p w14:paraId="1730AFF2" w14:textId="187D6284" w:rsidR="00663B62" w:rsidRPr="00266E5B" w:rsidRDefault="00663B62" w:rsidP="00266E5B">
      <w:pPr>
        <w:pStyle w:val="NoSpacing"/>
        <w:jc w:val="both"/>
        <w:rPr>
          <w:sz w:val="20"/>
        </w:rPr>
      </w:pPr>
      <w:r>
        <w:rPr>
          <w:sz w:val="20"/>
        </w:rPr>
        <w:t xml:space="preserve">Indices had a mixed close: while CROBEX and CROBEX10 saw a correction by about </w:t>
      </w:r>
      <w:r w:rsidR="0010330C">
        <w:rPr>
          <w:sz w:val="20"/>
        </w:rPr>
        <w:t>-</w:t>
      </w:r>
      <w:r>
        <w:rPr>
          <w:sz w:val="20"/>
        </w:rPr>
        <w:t xml:space="preserve">7 % and CROBEXtr by </w:t>
      </w:r>
      <w:r w:rsidR="0010330C">
        <w:rPr>
          <w:sz w:val="20"/>
        </w:rPr>
        <w:t>-</w:t>
      </w:r>
      <w:r>
        <w:rPr>
          <w:sz w:val="20"/>
        </w:rPr>
        <w:t xml:space="preserve">5 %, CROBEXnutris suffered a substantial, 45.1 % loss. Meanwhile, CROBEXkonstrukt rose 3.4 %, </w:t>
      </w:r>
      <w:r w:rsidR="00C46B84">
        <w:rPr>
          <w:sz w:val="20"/>
        </w:rPr>
        <w:t xml:space="preserve">with </w:t>
      </w:r>
      <w:r>
        <w:rPr>
          <w:sz w:val="20"/>
        </w:rPr>
        <w:t xml:space="preserve">CROBEXturist </w:t>
      </w:r>
      <w:r w:rsidR="00C46B84">
        <w:rPr>
          <w:sz w:val="20"/>
        </w:rPr>
        <w:t xml:space="preserve">adding </w:t>
      </w:r>
      <w:r>
        <w:rPr>
          <w:sz w:val="20"/>
        </w:rPr>
        <w:t>10.75 % and CROBEXtransport as much as 18.9 %.</w:t>
      </w:r>
    </w:p>
    <w:p w14:paraId="41DAA6F0" w14:textId="77777777" w:rsidR="00663B62" w:rsidRPr="00266E5B" w:rsidRDefault="00663B62" w:rsidP="00266E5B">
      <w:pPr>
        <w:pStyle w:val="NoSpacing"/>
        <w:jc w:val="both"/>
        <w:rPr>
          <w:sz w:val="20"/>
        </w:rPr>
      </w:pPr>
    </w:p>
    <w:p w14:paraId="7C431EB9" w14:textId="72134C8D" w:rsidR="00663B62" w:rsidRPr="00266E5B" w:rsidRDefault="00663B62" w:rsidP="00266E5B">
      <w:pPr>
        <w:pStyle w:val="NoSpacing"/>
        <w:jc w:val="both"/>
        <w:rPr>
          <w:sz w:val="20"/>
        </w:rPr>
      </w:pPr>
      <w:r>
        <w:rPr>
          <w:sz w:val="20"/>
        </w:rPr>
        <w:t xml:space="preserve">Valamar Riviera d.d. shares were the most actively traded, </w:t>
      </w:r>
      <w:r w:rsidR="00C46B84">
        <w:rPr>
          <w:sz w:val="20"/>
        </w:rPr>
        <w:t xml:space="preserve">while </w:t>
      </w:r>
      <w:r>
        <w:rPr>
          <w:sz w:val="20"/>
        </w:rPr>
        <w:t xml:space="preserve">Atlantska Plovidba d.d. </w:t>
      </w:r>
      <w:r w:rsidR="00A403AF">
        <w:rPr>
          <w:sz w:val="20"/>
        </w:rPr>
        <w:t>r</w:t>
      </w:r>
      <w:r>
        <w:rPr>
          <w:sz w:val="20"/>
        </w:rPr>
        <w:t>e</w:t>
      </w:r>
      <w:r w:rsidR="00A403AF">
        <w:rPr>
          <w:sz w:val="20"/>
        </w:rPr>
        <w:t>cord</w:t>
      </w:r>
      <w:r w:rsidR="00C46B84">
        <w:rPr>
          <w:sz w:val="20"/>
        </w:rPr>
        <w:t>ed</w:t>
      </w:r>
      <w:r>
        <w:rPr>
          <w:sz w:val="20"/>
        </w:rPr>
        <w:t xml:space="preserve"> the </w:t>
      </w:r>
      <w:r w:rsidR="00A403AF">
        <w:rPr>
          <w:sz w:val="20"/>
        </w:rPr>
        <w:t>strong</w:t>
      </w:r>
      <w:r>
        <w:rPr>
          <w:sz w:val="20"/>
        </w:rPr>
        <w:t xml:space="preserve">est share price increase </w:t>
      </w:r>
      <w:r w:rsidR="00C46B84" w:rsidRPr="00C46B84">
        <w:rPr>
          <w:sz w:val="20"/>
        </w:rPr>
        <w:t>by advancing more than</w:t>
      </w:r>
      <w:r w:rsidR="00C46B84">
        <w:rPr>
          <w:sz w:val="20"/>
        </w:rPr>
        <w:t> </w:t>
      </w:r>
      <w:r>
        <w:rPr>
          <w:sz w:val="20"/>
        </w:rPr>
        <w:t xml:space="preserve">126 %. </w:t>
      </w:r>
    </w:p>
    <w:sectPr w:rsidR="00663B62" w:rsidRPr="00266E5B" w:rsidSect="007F5D1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3F3A41" w14:textId="77777777" w:rsidR="00732C42" w:rsidRDefault="00732C42" w:rsidP="00363A9D">
      <w:pPr>
        <w:spacing w:after="0" w:line="240" w:lineRule="auto"/>
      </w:pPr>
      <w:r>
        <w:separator/>
      </w:r>
    </w:p>
  </w:endnote>
  <w:endnote w:type="continuationSeparator" w:id="0">
    <w:p w14:paraId="0BFBCAC7" w14:textId="77777777" w:rsidR="00732C42" w:rsidRDefault="00732C42" w:rsidP="00363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2C57B" w14:textId="2D2B4A9A" w:rsidR="008735DF" w:rsidRPr="00854753" w:rsidRDefault="00FA34EC" w:rsidP="00854753">
    <w:pPr>
      <w:pStyle w:val="Footer"/>
      <w:jc w:val="right"/>
      <w:rPr>
        <w:color w:val="5F497A" w:themeColor="accent4" w:themeShade="BF"/>
      </w:rPr>
    </w:pPr>
    <w:r>
      <w:rPr>
        <w:noProof/>
        <w:color w:val="5F497A" w:themeColor="accent4" w:themeShade="BF"/>
      </w:rPr>
      <w:pict w14:anchorId="5826F07D">
        <v:rect id="Rectangle 40" o:spid="_x0000_s2049" style="position:absolute;left:0;text-align:left;margin-left:0;margin-top:0;width:579.9pt;height:750.3pt;z-index:251660288;visibility:visible;mso-width-percent:950;mso-height-percent:950;mso-position-horizontal:center;mso-position-horizontal-relative:page;mso-position-vertical:center;mso-position-vertical-relative:page;mso-width-percent:950;mso-height-percent:9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" filled="f" strokecolor="#bfbfbf [2412]" strokeweight="1.5pt">
          <w10:wrap anchorx="page" anchory="page"/>
        </v:rect>
      </w:pict>
    </w:r>
    <w:r w:rsidR="007F5D18" w:rsidRPr="00854753">
      <w:rPr>
        <w:rFonts w:eastAsiaTheme="minorEastAsia"/>
        <w:color w:val="5F497A" w:themeColor="accent4" w:themeShade="BF"/>
        <w:sz w:val="20"/>
        <w:szCs w:val="20"/>
      </w:rPr>
      <w:fldChar w:fldCharType="begin"/>
    </w:r>
    <w:r w:rsidR="00854753" w:rsidRPr="00854753">
      <w:rPr>
        <w:color w:val="5F497A" w:themeColor="accent4" w:themeShade="BF"/>
        <w:sz w:val="20"/>
        <w:szCs w:val="20"/>
      </w:rPr>
      <w:instrText xml:space="preserve"> PAGE    \* MERGEFORMAT </w:instrText>
    </w:r>
    <w:r w:rsidR="007F5D18" w:rsidRPr="00854753">
      <w:rPr>
        <w:rFonts w:eastAsiaTheme="minorEastAsia"/>
        <w:color w:val="5F497A" w:themeColor="accent4" w:themeShade="BF"/>
        <w:sz w:val="20"/>
        <w:szCs w:val="20"/>
      </w:rPr>
      <w:fldChar w:fldCharType="separate"/>
    </w:r>
    <w:r w:rsidRPr="00FA34EC">
      <w:rPr>
        <w:rFonts w:eastAsiaTheme="majorEastAsia" w:cstheme="majorBidi"/>
        <w:noProof/>
        <w:color w:val="5F497A" w:themeColor="accent4" w:themeShade="BF"/>
        <w:sz w:val="20"/>
        <w:szCs w:val="20"/>
      </w:rPr>
      <w:t>1</w:t>
    </w:r>
    <w:r w:rsidR="007F5D18" w:rsidRPr="00854753">
      <w:rPr>
        <w:rFonts w:eastAsiaTheme="majorEastAsia" w:cstheme="majorBidi"/>
        <w:noProof/>
        <w:color w:val="5F497A" w:themeColor="accent4" w:themeShade="B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DBDD5F" w14:textId="77777777" w:rsidR="00732C42" w:rsidRDefault="00732C42" w:rsidP="00363A9D">
      <w:pPr>
        <w:spacing w:after="0" w:line="240" w:lineRule="auto"/>
      </w:pPr>
      <w:r>
        <w:separator/>
      </w:r>
    </w:p>
  </w:footnote>
  <w:footnote w:type="continuationSeparator" w:id="0">
    <w:p w14:paraId="7A8C5911" w14:textId="77777777" w:rsidR="00732C42" w:rsidRDefault="00732C42" w:rsidP="00363A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C40DF" w14:textId="77777777" w:rsidR="00363A9D" w:rsidRDefault="00363A9D" w:rsidP="00363A9D">
    <w:pPr>
      <w:pStyle w:val="Heading3"/>
      <w:tabs>
        <w:tab w:val="right" w:pos="9072"/>
      </w:tabs>
      <w:rPr>
        <w:rFonts w:asciiTheme="minorHAnsi" w:hAnsiTheme="minorHAnsi"/>
        <w:color w:val="5F497A" w:themeColor="accent4" w:themeShade="BF"/>
        <w:spacing w:val="40"/>
      </w:rPr>
    </w:pPr>
    <w:r>
      <w:rPr>
        <w:rFonts w:asciiTheme="minorHAnsi" w:hAnsiTheme="minorHAnsi"/>
        <w:noProof/>
        <w:color w:val="5F497A" w:themeColor="accent4" w:themeShade="BF"/>
        <w:spacing w:val="40"/>
        <w:lang w:val="hr-HR" w:eastAsia="hr-HR" w:bidi="ar-SA"/>
      </w:rPr>
      <w:drawing>
        <wp:anchor distT="0" distB="0" distL="114300" distR="114300" simplePos="0" relativeHeight="251660800" behindDoc="1" locked="0" layoutInCell="1" allowOverlap="1" wp14:anchorId="4428C060" wp14:editId="6A68F90A">
          <wp:simplePos x="0" y="0"/>
          <wp:positionH relativeFrom="column">
            <wp:posOffset>5173345</wp:posOffset>
          </wp:positionH>
          <wp:positionV relativeFrom="paragraph">
            <wp:posOffset>116205</wp:posOffset>
          </wp:positionV>
          <wp:extent cx="1040765" cy="1029970"/>
          <wp:effectExtent l="19050" t="0" r="6985" b="0"/>
          <wp:wrapTight wrapText="bothSides">
            <wp:wrapPolygon edited="0">
              <wp:start x="-395" y="0"/>
              <wp:lineTo x="-395" y="21174"/>
              <wp:lineTo x="21745" y="21174"/>
              <wp:lineTo x="21745" y="0"/>
              <wp:lineTo x="-395"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grebacka-burza---logo-vertikalno.jpg"/>
                  <pic:cNvPicPr/>
                </pic:nvPicPr>
                <pic:blipFill rotWithShape="1">
                  <a:blip r:embed="rId1" cstate="print">
                    <a:extLst>
                      <a:ext uri="{28A0092B-C50C-407E-A947-70E740481C1C}">
                        <a14:useLocalDpi xmlns:a14="http://schemas.microsoft.com/office/drawing/2010/main" val="0"/>
                      </a:ext>
                    </a:extLst>
                  </a:blip>
                  <a:srcRect l="15000" t="16249" r="13125" b="12501"/>
                  <a:stretch/>
                </pic:blipFill>
                <pic:spPr bwMode="auto">
                  <a:xfrm>
                    <a:off x="0" y="0"/>
                    <a:ext cx="1040765" cy="1029970"/>
                  </a:xfrm>
                  <a:prstGeom prst="rect">
                    <a:avLst/>
                  </a:prstGeom>
                  <a:ln>
                    <a:noFill/>
                  </a:ln>
                  <a:extLst>
                    <a:ext uri="{53640926-AAD7-44D8-BBD7-CCE9431645EC}">
                      <a14:shadowObscured xmlns:a14="http://schemas.microsoft.com/office/drawing/2010/main"/>
                    </a:ext>
                  </a:extLst>
                </pic:spPr>
              </pic:pic>
            </a:graphicData>
          </a:graphic>
        </wp:anchor>
      </w:drawing>
    </w:r>
  </w:p>
  <w:p w14:paraId="2F919CAE" w14:textId="77777777" w:rsidR="00363A9D" w:rsidRPr="00854753" w:rsidRDefault="00363A9D" w:rsidP="00363A9D">
    <w:pPr>
      <w:pStyle w:val="Heading3"/>
      <w:tabs>
        <w:tab w:val="right" w:pos="9072"/>
      </w:tabs>
      <w:rPr>
        <w:rFonts w:asciiTheme="minorHAnsi" w:hAnsiTheme="minorHAnsi"/>
        <w:color w:val="5F497A" w:themeColor="accent4" w:themeShade="BF"/>
        <w:spacing w:val="40"/>
        <w:sz w:val="36"/>
      </w:rPr>
    </w:pPr>
    <w:r>
      <w:rPr>
        <w:rFonts w:asciiTheme="minorHAnsi" w:hAnsiTheme="minorHAnsi"/>
        <w:color w:val="5F497A" w:themeColor="accent4" w:themeShade="BF"/>
        <w:spacing w:val="40"/>
        <w:sz w:val="36"/>
      </w:rPr>
      <w:t>ZAGREB STOCK EXCHANGE IN 2017</w:t>
    </w:r>
  </w:p>
  <w:p w14:paraId="003487D2" w14:textId="77777777" w:rsidR="00363A9D" w:rsidRDefault="00363A9D" w:rsidP="00363A9D"/>
  <w:p w14:paraId="7A4B3723" w14:textId="77777777" w:rsidR="00363A9D" w:rsidRDefault="00363A9D" w:rsidP="00363A9D">
    <w:pPr>
      <w:pStyle w:val="Header"/>
      <w:jc w:val="right"/>
    </w:pPr>
  </w:p>
  <w:p w14:paraId="328F2E3B" w14:textId="77777777" w:rsidR="00363A9D" w:rsidRDefault="00363A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309D0"/>
    <w:rsid w:val="0010330C"/>
    <w:rsid w:val="001F6FBA"/>
    <w:rsid w:val="00266E5B"/>
    <w:rsid w:val="002A1C04"/>
    <w:rsid w:val="002A4196"/>
    <w:rsid w:val="00363A9D"/>
    <w:rsid w:val="003D5B1B"/>
    <w:rsid w:val="00482044"/>
    <w:rsid w:val="005B7C29"/>
    <w:rsid w:val="00663B62"/>
    <w:rsid w:val="00732C42"/>
    <w:rsid w:val="007867EF"/>
    <w:rsid w:val="007D7B8A"/>
    <w:rsid w:val="007E0B42"/>
    <w:rsid w:val="007F5D18"/>
    <w:rsid w:val="00845145"/>
    <w:rsid w:val="00854753"/>
    <w:rsid w:val="008735DF"/>
    <w:rsid w:val="009239D6"/>
    <w:rsid w:val="00925D84"/>
    <w:rsid w:val="00984B28"/>
    <w:rsid w:val="009944AA"/>
    <w:rsid w:val="009C79AD"/>
    <w:rsid w:val="00A403AF"/>
    <w:rsid w:val="00A7726A"/>
    <w:rsid w:val="00AA77C4"/>
    <w:rsid w:val="00AF3F56"/>
    <w:rsid w:val="00BB73B1"/>
    <w:rsid w:val="00C46B84"/>
    <w:rsid w:val="00CE08DB"/>
    <w:rsid w:val="00DD2D3F"/>
    <w:rsid w:val="00DD5AB1"/>
    <w:rsid w:val="00EE4D0B"/>
    <w:rsid w:val="00F30242"/>
    <w:rsid w:val="00F309D0"/>
    <w:rsid w:val="00F816AD"/>
    <w:rsid w:val="00FA34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A23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D18"/>
  </w:style>
  <w:style w:type="paragraph" w:styleId="Heading1">
    <w:name w:val="heading 1"/>
    <w:basedOn w:val="Normal"/>
    <w:next w:val="Normal"/>
    <w:link w:val="Heading1Char"/>
    <w:uiPriority w:val="9"/>
    <w:qFormat/>
    <w:rsid w:val="00363A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63A9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63A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3A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3A9D"/>
    <w:rPr>
      <w:rFonts w:ascii="Tahoma" w:hAnsi="Tahoma" w:cs="Tahoma"/>
      <w:sz w:val="16"/>
      <w:szCs w:val="16"/>
    </w:rPr>
  </w:style>
  <w:style w:type="paragraph" w:styleId="Header">
    <w:name w:val="header"/>
    <w:basedOn w:val="Normal"/>
    <w:link w:val="HeaderChar"/>
    <w:uiPriority w:val="99"/>
    <w:unhideWhenUsed/>
    <w:rsid w:val="00363A9D"/>
    <w:pPr>
      <w:tabs>
        <w:tab w:val="center" w:pos="4536"/>
        <w:tab w:val="right" w:pos="9072"/>
      </w:tabs>
      <w:spacing w:after="0" w:line="240" w:lineRule="auto"/>
    </w:pPr>
  </w:style>
  <w:style w:type="character" w:customStyle="1" w:styleId="HeaderChar">
    <w:name w:val="Header Char"/>
    <w:basedOn w:val="DefaultParagraphFont"/>
    <w:link w:val="Header"/>
    <w:uiPriority w:val="99"/>
    <w:rsid w:val="00363A9D"/>
  </w:style>
  <w:style w:type="paragraph" w:styleId="Footer">
    <w:name w:val="footer"/>
    <w:basedOn w:val="Normal"/>
    <w:link w:val="FooterChar"/>
    <w:uiPriority w:val="99"/>
    <w:unhideWhenUsed/>
    <w:rsid w:val="00363A9D"/>
    <w:pPr>
      <w:tabs>
        <w:tab w:val="center" w:pos="4536"/>
        <w:tab w:val="right" w:pos="9072"/>
      </w:tabs>
      <w:spacing w:after="0" w:line="240" w:lineRule="auto"/>
    </w:pPr>
  </w:style>
  <w:style w:type="character" w:customStyle="1" w:styleId="FooterChar">
    <w:name w:val="Footer Char"/>
    <w:basedOn w:val="DefaultParagraphFont"/>
    <w:link w:val="Footer"/>
    <w:uiPriority w:val="99"/>
    <w:rsid w:val="00363A9D"/>
  </w:style>
  <w:style w:type="character" w:customStyle="1" w:styleId="Heading1Char">
    <w:name w:val="Heading 1 Char"/>
    <w:basedOn w:val="DefaultParagraphFont"/>
    <w:link w:val="Heading1"/>
    <w:uiPriority w:val="9"/>
    <w:rsid w:val="00363A9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63A9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63A9D"/>
    <w:rPr>
      <w:rFonts w:asciiTheme="majorHAnsi" w:eastAsiaTheme="majorEastAsia" w:hAnsiTheme="majorHAnsi" w:cstheme="majorBidi"/>
      <w:b/>
      <w:bCs/>
      <w:color w:val="4F81BD" w:themeColor="accent1"/>
    </w:rPr>
  </w:style>
  <w:style w:type="paragraph" w:styleId="NoSpacing">
    <w:name w:val="No Spacing"/>
    <w:uiPriority w:val="1"/>
    <w:qFormat/>
    <w:rsid w:val="00363A9D"/>
    <w:pPr>
      <w:spacing w:after="0" w:line="240" w:lineRule="auto"/>
    </w:pPr>
  </w:style>
  <w:style w:type="character" w:styleId="CommentReference">
    <w:name w:val="annotation reference"/>
    <w:basedOn w:val="DefaultParagraphFont"/>
    <w:uiPriority w:val="99"/>
    <w:semiHidden/>
    <w:unhideWhenUsed/>
    <w:rsid w:val="007E0B42"/>
    <w:rPr>
      <w:sz w:val="16"/>
      <w:szCs w:val="16"/>
    </w:rPr>
  </w:style>
  <w:style w:type="paragraph" w:styleId="CommentText">
    <w:name w:val="annotation text"/>
    <w:basedOn w:val="Normal"/>
    <w:link w:val="CommentTextChar"/>
    <w:uiPriority w:val="99"/>
    <w:semiHidden/>
    <w:unhideWhenUsed/>
    <w:rsid w:val="007E0B42"/>
    <w:pPr>
      <w:spacing w:line="240" w:lineRule="auto"/>
    </w:pPr>
    <w:rPr>
      <w:sz w:val="20"/>
      <w:szCs w:val="20"/>
    </w:rPr>
  </w:style>
  <w:style w:type="character" w:customStyle="1" w:styleId="CommentTextChar">
    <w:name w:val="Comment Text Char"/>
    <w:basedOn w:val="DefaultParagraphFont"/>
    <w:link w:val="CommentText"/>
    <w:uiPriority w:val="99"/>
    <w:semiHidden/>
    <w:rsid w:val="007E0B42"/>
    <w:rPr>
      <w:sz w:val="20"/>
      <w:szCs w:val="20"/>
    </w:rPr>
  </w:style>
  <w:style w:type="paragraph" w:styleId="CommentSubject">
    <w:name w:val="annotation subject"/>
    <w:basedOn w:val="CommentText"/>
    <w:next w:val="CommentText"/>
    <w:link w:val="CommentSubjectChar"/>
    <w:uiPriority w:val="99"/>
    <w:semiHidden/>
    <w:unhideWhenUsed/>
    <w:rsid w:val="007E0B42"/>
    <w:rPr>
      <w:b/>
      <w:bCs/>
    </w:rPr>
  </w:style>
  <w:style w:type="character" w:customStyle="1" w:styleId="CommentSubjectChar">
    <w:name w:val="Comment Subject Char"/>
    <w:basedOn w:val="CommentTextChar"/>
    <w:link w:val="CommentSubject"/>
    <w:uiPriority w:val="99"/>
    <w:semiHidden/>
    <w:rsid w:val="007E0B4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7B18E-8066-4354-8BD5-0DFC48CA8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1755</Words>
  <Characters>10008</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sanda</dc:creator>
  <cp:lastModifiedBy>sanda</cp:lastModifiedBy>
  <cp:revision>2</cp:revision>
  <dcterms:created xsi:type="dcterms:W3CDTF">2018-01-18T09:30:00Z</dcterms:created>
  <dcterms:modified xsi:type="dcterms:W3CDTF">2018-01-18T09:30:00Z</dcterms:modified>
</cp:coreProperties>
</file>